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6404" w14:textId="77777777" w:rsidR="009B6EC0" w:rsidRPr="00665DE2" w:rsidRDefault="009B6EC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A3AA71" w14:textId="77777777" w:rsidR="009B6EC0" w:rsidRPr="00665DE2" w:rsidRDefault="009B6EC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5F29AF" w14:textId="4082784F" w:rsidR="004363A0" w:rsidRPr="00665DE2" w:rsidRDefault="004363A0" w:rsidP="001B0E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65DE2">
        <w:rPr>
          <w:rFonts w:ascii="Arial" w:hAnsi="Arial" w:cs="Arial"/>
          <w:b/>
          <w:sz w:val="28"/>
          <w:szCs w:val="28"/>
        </w:rPr>
        <w:t>Taxordnung</w:t>
      </w:r>
      <w:r w:rsidR="009B6EC0" w:rsidRPr="00665DE2">
        <w:rPr>
          <w:rFonts w:ascii="Arial" w:hAnsi="Arial" w:cs="Arial"/>
          <w:b/>
          <w:sz w:val="28"/>
          <w:szCs w:val="28"/>
        </w:rPr>
        <w:t xml:space="preserve"> Sozialtherapie Fintan</w:t>
      </w:r>
      <w:r w:rsidR="00256BD8" w:rsidRPr="00665DE2">
        <w:rPr>
          <w:rFonts w:ascii="Arial" w:hAnsi="Arial" w:cs="Arial"/>
          <w:sz w:val="28"/>
          <w:szCs w:val="28"/>
          <w:highlight w:val="lightGray"/>
        </w:rPr>
        <w:br/>
      </w:r>
    </w:p>
    <w:p w14:paraId="05CF0874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Gültigkeit</w:t>
      </w:r>
    </w:p>
    <w:p w14:paraId="7283FBF7" w14:textId="446A3190" w:rsidR="004363A0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Tarife ab 1.1.202</w:t>
      </w:r>
      <w:r w:rsidR="009747BC">
        <w:rPr>
          <w:rFonts w:ascii="Arial" w:hAnsi="Arial" w:cs="Arial"/>
          <w:sz w:val="24"/>
          <w:szCs w:val="24"/>
        </w:rPr>
        <w:t>4</w:t>
      </w:r>
      <w:r w:rsidRPr="00665DE2">
        <w:rPr>
          <w:rFonts w:ascii="Arial" w:hAnsi="Arial" w:cs="Arial"/>
          <w:sz w:val="24"/>
          <w:szCs w:val="24"/>
        </w:rPr>
        <w:t xml:space="preserve"> bis 31.12.202</w:t>
      </w:r>
      <w:r w:rsidR="009747BC">
        <w:rPr>
          <w:rFonts w:ascii="Arial" w:hAnsi="Arial" w:cs="Arial"/>
          <w:sz w:val="24"/>
          <w:szCs w:val="24"/>
        </w:rPr>
        <w:t>4</w:t>
      </w:r>
    </w:p>
    <w:p w14:paraId="4B07E20C" w14:textId="77777777" w:rsidR="001B0EBE" w:rsidRPr="00665DE2" w:rsidRDefault="001B0EBE" w:rsidP="001B0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62AEA" w14:textId="46214A79" w:rsidR="004363A0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Diese Taxordnung gilt für Personen mit Wohnsitz im Kanton Zürich mit IV-Rente</w:t>
      </w:r>
      <w:r w:rsidRPr="00665DE2">
        <w:rPr>
          <w:rStyle w:val="Funotenzeichen"/>
          <w:rFonts w:ascii="Arial" w:hAnsi="Arial" w:cs="Arial"/>
          <w:sz w:val="24"/>
          <w:szCs w:val="24"/>
        </w:rPr>
        <w:footnoteReference w:id="2"/>
      </w:r>
      <w:r w:rsidRPr="00665DE2">
        <w:rPr>
          <w:rFonts w:ascii="Arial" w:hAnsi="Arial" w:cs="Arial"/>
          <w:sz w:val="24"/>
          <w:szCs w:val="24"/>
        </w:rPr>
        <w:t>, die be</w:t>
      </w:r>
      <w:r w:rsidRPr="00665DE2">
        <w:rPr>
          <w:rFonts w:ascii="Arial" w:hAnsi="Arial" w:cs="Arial"/>
          <w:sz w:val="24"/>
          <w:szCs w:val="24"/>
        </w:rPr>
        <w:t>i</w:t>
      </w:r>
      <w:r w:rsidRPr="00665DE2">
        <w:rPr>
          <w:rFonts w:ascii="Arial" w:hAnsi="Arial" w:cs="Arial"/>
          <w:sz w:val="24"/>
          <w:szCs w:val="24"/>
        </w:rPr>
        <w:t>tragsberechtigte Plätze</w:t>
      </w:r>
      <w:r w:rsidRPr="00665DE2">
        <w:rPr>
          <w:rStyle w:val="Funotenzeichen"/>
          <w:rFonts w:ascii="Arial" w:hAnsi="Arial" w:cs="Arial"/>
          <w:sz w:val="24"/>
          <w:szCs w:val="24"/>
        </w:rPr>
        <w:footnoteReference w:id="3"/>
      </w:r>
      <w:r w:rsidRPr="00665DE2">
        <w:rPr>
          <w:rFonts w:ascii="Arial" w:hAnsi="Arial" w:cs="Arial"/>
          <w:sz w:val="24"/>
          <w:szCs w:val="24"/>
        </w:rPr>
        <w:t xml:space="preserve"> belegen.</w:t>
      </w:r>
      <w:r w:rsidR="009B6EC0" w:rsidRPr="00665DE2">
        <w:rPr>
          <w:rFonts w:ascii="Arial" w:hAnsi="Arial" w:cs="Arial"/>
          <w:sz w:val="24"/>
          <w:szCs w:val="24"/>
        </w:rPr>
        <w:br/>
      </w:r>
      <w:r w:rsidRPr="00665DE2">
        <w:rPr>
          <w:rFonts w:ascii="Arial" w:hAnsi="Arial" w:cs="Arial"/>
          <w:sz w:val="24"/>
          <w:szCs w:val="24"/>
        </w:rPr>
        <w:br/>
        <w:t>Für Personen ohne IV-Rente können die Pensionspreise abweichen.</w:t>
      </w:r>
      <w:r w:rsidR="009B6EC0" w:rsidRPr="00665DE2">
        <w:rPr>
          <w:rFonts w:ascii="Arial" w:hAnsi="Arial" w:cs="Arial"/>
          <w:sz w:val="24"/>
          <w:szCs w:val="24"/>
        </w:rPr>
        <w:br/>
      </w:r>
      <w:r w:rsidRPr="00665DE2">
        <w:rPr>
          <w:rFonts w:ascii="Arial" w:hAnsi="Arial" w:cs="Arial"/>
          <w:sz w:val="24"/>
          <w:szCs w:val="24"/>
        </w:rPr>
        <w:br/>
      </w:r>
      <w:r w:rsidR="00136403" w:rsidRPr="00665DE2">
        <w:rPr>
          <w:rFonts w:ascii="Arial" w:hAnsi="Arial" w:cs="Arial"/>
          <w:sz w:val="24"/>
          <w:szCs w:val="24"/>
        </w:rPr>
        <w:t xml:space="preserve">Bei </w:t>
      </w:r>
      <w:r w:rsidRPr="00665DE2">
        <w:rPr>
          <w:rFonts w:ascii="Arial" w:hAnsi="Arial" w:cs="Arial"/>
          <w:sz w:val="24"/>
          <w:szCs w:val="24"/>
        </w:rPr>
        <w:t xml:space="preserve">Personen, die über die Interkantonale Vereinbarung über </w:t>
      </w:r>
      <w:proofErr w:type="spellStart"/>
      <w:r w:rsidRPr="00665DE2">
        <w:rPr>
          <w:rFonts w:ascii="Arial" w:hAnsi="Arial" w:cs="Arial"/>
          <w:sz w:val="24"/>
          <w:szCs w:val="24"/>
        </w:rPr>
        <w:t>Soziale</w:t>
      </w:r>
      <w:proofErr w:type="spellEnd"/>
      <w:r w:rsidRPr="00665DE2">
        <w:rPr>
          <w:rFonts w:ascii="Arial" w:hAnsi="Arial" w:cs="Arial"/>
          <w:sz w:val="24"/>
          <w:szCs w:val="24"/>
        </w:rPr>
        <w:t xml:space="preserve"> Einrichtungen (IVSE) verrechnet werden, legt der zuständige Kanton die Taxen fest.</w:t>
      </w:r>
    </w:p>
    <w:p w14:paraId="3B0C9B53" w14:textId="77777777" w:rsidR="00F9325D" w:rsidRPr="00665DE2" w:rsidRDefault="00F9325D" w:rsidP="001B0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93A56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Finanzierung des Aufenthalts</w:t>
      </w:r>
    </w:p>
    <w:p w14:paraId="598FBB39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Die (vom Kanton vorgegebenen) Normkosten</w:t>
      </w:r>
      <w:r w:rsidRPr="00665DE2">
        <w:rPr>
          <w:rStyle w:val="Funotenzeichen"/>
          <w:rFonts w:ascii="Arial" w:hAnsi="Arial" w:cs="Arial"/>
          <w:sz w:val="24"/>
          <w:szCs w:val="24"/>
        </w:rPr>
        <w:footnoteReference w:id="4"/>
      </w:r>
      <w:r w:rsidRPr="00665DE2">
        <w:rPr>
          <w:rFonts w:ascii="Arial" w:hAnsi="Arial" w:cs="Arial"/>
          <w:sz w:val="24"/>
          <w:szCs w:val="24"/>
        </w:rPr>
        <w:t xml:space="preserve"> eines Wohnaufenthaltes werden durch die Bewohnerinnen und Bewohner sowie den Kanton getragen. Die Bewohnerin oder der B</w:t>
      </w:r>
      <w:r w:rsidRPr="00665DE2">
        <w:rPr>
          <w:rFonts w:ascii="Arial" w:hAnsi="Arial" w:cs="Arial"/>
          <w:sz w:val="24"/>
          <w:szCs w:val="24"/>
        </w:rPr>
        <w:t>e</w:t>
      </w:r>
      <w:r w:rsidRPr="00665DE2">
        <w:rPr>
          <w:rFonts w:ascii="Arial" w:hAnsi="Arial" w:cs="Arial"/>
          <w:sz w:val="24"/>
          <w:szCs w:val="24"/>
        </w:rPr>
        <w:t>wohner bezahlt maximal die Normkosten.</w:t>
      </w:r>
      <w:r w:rsidRPr="00665DE2">
        <w:rPr>
          <w:rFonts w:ascii="Arial" w:hAnsi="Arial" w:cs="Arial"/>
          <w:sz w:val="24"/>
          <w:szCs w:val="24"/>
        </w:rPr>
        <w:br/>
        <w:t>Die Verteilung der Beiträge erfolgt dabei folgendermassen:</w:t>
      </w:r>
    </w:p>
    <w:p w14:paraId="7A0E6C92" w14:textId="77777777" w:rsidR="004363A0" w:rsidRPr="00665DE2" w:rsidRDefault="004363A0" w:rsidP="001B0EBE">
      <w:pPr>
        <w:pStyle w:val="Listenabsatz"/>
        <w:numPr>
          <w:ilvl w:val="0"/>
          <w:numId w:val="16"/>
        </w:numPr>
        <w:spacing w:after="0" w:line="240" w:lineRule="auto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Bewohnerinnen und Bewohner:</w:t>
      </w:r>
      <w:r w:rsidRPr="00665DE2">
        <w:rPr>
          <w:rFonts w:ascii="Arial" w:hAnsi="Arial" w:cs="Arial"/>
          <w:sz w:val="24"/>
          <w:szCs w:val="24"/>
        </w:rPr>
        <w:br/>
        <w:t xml:space="preserve">Pensionskosten (Zimmer und Mahlzeiten) und ein Anteil an die Betreuung werden mit </w:t>
      </w:r>
      <w:r w:rsidRPr="00665DE2">
        <w:rPr>
          <w:rFonts w:ascii="Arial" w:hAnsi="Arial" w:cs="Arial"/>
          <w:b/>
          <w:sz w:val="24"/>
          <w:szCs w:val="24"/>
        </w:rPr>
        <w:t xml:space="preserve">Taxen </w:t>
      </w:r>
      <w:r w:rsidRPr="00665DE2">
        <w:rPr>
          <w:rFonts w:ascii="Arial" w:hAnsi="Arial" w:cs="Arial"/>
          <w:sz w:val="24"/>
          <w:szCs w:val="24"/>
        </w:rPr>
        <w:t>finanziert</w:t>
      </w:r>
      <w:r w:rsidRPr="00665DE2">
        <w:rPr>
          <w:rFonts w:ascii="Arial" w:hAnsi="Arial" w:cs="Arial"/>
          <w:sz w:val="24"/>
          <w:szCs w:val="24"/>
        </w:rPr>
        <w:br/>
        <w:t>für nicht im Grundleistungskatalog enthaltene Leistungen verrechnen wir →→</w:t>
      </w:r>
      <w:r w:rsidRPr="00665DE2">
        <w:rPr>
          <w:rFonts w:ascii="Arial" w:hAnsi="Arial" w:cs="Arial"/>
          <w:b/>
          <w:sz w:val="24"/>
          <w:szCs w:val="24"/>
        </w:rPr>
        <w:t xml:space="preserve"> Lei</w:t>
      </w:r>
      <w:r w:rsidRPr="00665DE2">
        <w:rPr>
          <w:rFonts w:ascii="Arial" w:hAnsi="Arial" w:cs="Arial"/>
          <w:b/>
          <w:sz w:val="24"/>
          <w:szCs w:val="24"/>
        </w:rPr>
        <w:t>s</w:t>
      </w:r>
      <w:r w:rsidRPr="00665DE2">
        <w:rPr>
          <w:rFonts w:ascii="Arial" w:hAnsi="Arial" w:cs="Arial"/>
          <w:b/>
          <w:sz w:val="24"/>
          <w:szCs w:val="24"/>
        </w:rPr>
        <w:t>tungen mit Kostenbeteiligungen</w:t>
      </w:r>
    </w:p>
    <w:p w14:paraId="16680857" w14:textId="334BC17C" w:rsidR="004363A0" w:rsidRPr="00665DE2" w:rsidRDefault="004363A0" w:rsidP="001B0EBE">
      <w:pPr>
        <w:pStyle w:val="Listenabsatz"/>
        <w:numPr>
          <w:ilvl w:val="0"/>
          <w:numId w:val="16"/>
        </w:numPr>
        <w:spacing w:after="0" w:line="240" w:lineRule="auto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Kanton</w:t>
      </w:r>
      <w:r w:rsidRPr="00665DE2">
        <w:rPr>
          <w:rFonts w:ascii="Arial" w:hAnsi="Arial" w:cs="Arial"/>
          <w:sz w:val="24"/>
          <w:szCs w:val="24"/>
        </w:rPr>
        <w:t>:</w:t>
      </w:r>
      <w:r w:rsidRPr="00665DE2">
        <w:rPr>
          <w:rFonts w:ascii="Arial" w:hAnsi="Arial" w:cs="Arial"/>
          <w:sz w:val="24"/>
          <w:szCs w:val="24"/>
        </w:rPr>
        <w:br/>
        <w:t>Betreuungskosten, die über dem durch die Bewohnerinnen und Bewohner getrag</w:t>
      </w:r>
      <w:r w:rsidRPr="00665DE2">
        <w:rPr>
          <w:rFonts w:ascii="Arial" w:hAnsi="Arial" w:cs="Arial"/>
          <w:sz w:val="24"/>
          <w:szCs w:val="24"/>
        </w:rPr>
        <w:t>e</w:t>
      </w:r>
      <w:r w:rsidRPr="00665DE2">
        <w:rPr>
          <w:rFonts w:ascii="Arial" w:hAnsi="Arial" w:cs="Arial"/>
          <w:sz w:val="24"/>
          <w:szCs w:val="24"/>
        </w:rPr>
        <w:t xml:space="preserve">nen Anteil liegen, werden durch den </w:t>
      </w:r>
      <w:r w:rsidRPr="00665DE2">
        <w:rPr>
          <w:rFonts w:ascii="Arial" w:hAnsi="Arial" w:cs="Arial"/>
          <w:b/>
          <w:sz w:val="24"/>
          <w:szCs w:val="24"/>
        </w:rPr>
        <w:t xml:space="preserve">Kantonsbeitrag </w:t>
      </w:r>
      <w:r w:rsidRPr="00665DE2">
        <w:rPr>
          <w:rFonts w:ascii="Arial" w:hAnsi="Arial" w:cs="Arial"/>
          <w:sz w:val="24"/>
          <w:szCs w:val="24"/>
        </w:rPr>
        <w:t>gedeckt</w:t>
      </w:r>
      <w:r w:rsidR="001B0EBE" w:rsidRPr="00665DE2">
        <w:rPr>
          <w:rFonts w:ascii="Arial" w:hAnsi="Arial" w:cs="Arial"/>
          <w:sz w:val="24"/>
          <w:szCs w:val="24"/>
        </w:rPr>
        <w:br/>
      </w:r>
    </w:p>
    <w:p w14:paraId="3014A947" w14:textId="1A33D154" w:rsidR="004363A0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Die Finanzierung der Taxen und Leistungen mit Kostenbeteiligungen erfolgt über eigene Mittel der Bewohnerinnen und Bewohner (beispielsweise</w:t>
      </w:r>
      <w:r w:rsidR="00EB3A70" w:rsidRPr="00665DE2">
        <w:rPr>
          <w:rFonts w:ascii="Arial" w:hAnsi="Arial" w:cs="Arial"/>
          <w:sz w:val="24"/>
          <w:szCs w:val="24"/>
        </w:rPr>
        <w:t xml:space="preserve"> </w:t>
      </w:r>
      <w:r w:rsidRPr="00665DE2">
        <w:rPr>
          <w:rFonts w:ascii="Arial" w:hAnsi="Arial" w:cs="Arial"/>
          <w:sz w:val="24"/>
          <w:szCs w:val="24"/>
        </w:rPr>
        <w:t>IV-Renten</w:t>
      </w:r>
      <w:r w:rsidR="00136403" w:rsidRPr="00665DE2">
        <w:rPr>
          <w:rFonts w:ascii="Arial" w:hAnsi="Arial" w:cs="Arial"/>
          <w:sz w:val="24"/>
          <w:szCs w:val="24"/>
        </w:rPr>
        <w:t>, Ergänzungsleistungen</w:t>
      </w:r>
      <w:r w:rsidRPr="00665DE2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Pr="00665DE2">
        <w:rPr>
          <w:rFonts w:ascii="Arial" w:hAnsi="Arial" w:cs="Arial"/>
          <w:sz w:val="24"/>
          <w:szCs w:val="24"/>
        </w:rPr>
        <w:t>Hilflosenentschädigungen</w:t>
      </w:r>
      <w:proofErr w:type="spellEnd"/>
      <w:r w:rsidRPr="00665DE2">
        <w:rPr>
          <w:rFonts w:ascii="Arial" w:hAnsi="Arial" w:cs="Arial"/>
          <w:sz w:val="24"/>
          <w:szCs w:val="24"/>
        </w:rPr>
        <w:t xml:space="preserve">). </w:t>
      </w:r>
    </w:p>
    <w:p w14:paraId="14F26CFC" w14:textId="77777777" w:rsidR="001B0EBE" w:rsidRPr="00665DE2" w:rsidRDefault="001B0EBE" w:rsidP="001B0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EE110" w14:textId="7700F6AA" w:rsidR="001B0EBE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65DE2">
        <w:rPr>
          <w:rFonts w:ascii="Arial" w:hAnsi="Arial" w:cs="Arial"/>
          <w:sz w:val="24"/>
          <w:szCs w:val="24"/>
        </w:rPr>
        <w:t xml:space="preserve">Der Kantonsbeitrag wird in einer Leistungsvereinbarung zwischen </w:t>
      </w:r>
      <w:r w:rsidR="00D91683" w:rsidRPr="00665DE2">
        <w:rPr>
          <w:rFonts w:ascii="Arial" w:hAnsi="Arial" w:cs="Arial"/>
          <w:sz w:val="24"/>
          <w:szCs w:val="24"/>
        </w:rPr>
        <w:t>der Sozialtherapie Fintan</w:t>
      </w:r>
      <w:r w:rsidRPr="00665DE2">
        <w:rPr>
          <w:rFonts w:ascii="Arial" w:hAnsi="Arial" w:cs="Arial"/>
          <w:sz w:val="24"/>
          <w:szCs w:val="24"/>
        </w:rPr>
        <w:t xml:space="preserve"> und dem Kantonalen Sozialamt festgelegt.</w:t>
      </w:r>
      <w:r w:rsidR="00F9325D" w:rsidRPr="00665DE2">
        <w:rPr>
          <w:rFonts w:ascii="Arial" w:hAnsi="Arial" w:cs="Arial"/>
          <w:sz w:val="24"/>
          <w:szCs w:val="24"/>
        </w:rPr>
        <w:br/>
      </w:r>
    </w:p>
    <w:p w14:paraId="7B03DE67" w14:textId="77777777" w:rsidR="001B0EBE" w:rsidRPr="00665DE2" w:rsidRDefault="001B0EBE" w:rsidP="001B0EBE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65DE2">
        <w:rPr>
          <w:rFonts w:ascii="Arial" w:hAnsi="Arial" w:cs="Arial"/>
          <w:sz w:val="24"/>
          <w:szCs w:val="24"/>
          <w:vertAlign w:val="superscript"/>
        </w:rPr>
        <w:br w:type="page"/>
      </w:r>
    </w:p>
    <w:p w14:paraId="759F2FFD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06FCD53E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Taxen</w:t>
      </w:r>
    </w:p>
    <w:p w14:paraId="2C8D685E" w14:textId="25E43931" w:rsidR="004363A0" w:rsidRPr="00665DE2" w:rsidRDefault="004363A0" w:rsidP="001B0EBE">
      <w:pPr>
        <w:tabs>
          <w:tab w:val="left" w:pos="993"/>
          <w:tab w:val="left" w:pos="1559"/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Rating</w:t>
      </w:r>
      <w:r w:rsidRPr="00665DE2">
        <w:rPr>
          <w:rStyle w:val="Funotenzeichen"/>
          <w:rFonts w:ascii="Arial" w:hAnsi="Arial" w:cs="Arial"/>
          <w:sz w:val="24"/>
          <w:szCs w:val="24"/>
        </w:rPr>
        <w:footnoteReference w:id="5"/>
      </w:r>
      <w:r w:rsidRPr="00665DE2">
        <w:rPr>
          <w:rFonts w:ascii="Arial" w:hAnsi="Arial" w:cs="Arial"/>
          <w:sz w:val="24"/>
          <w:szCs w:val="24"/>
        </w:rPr>
        <w:tab/>
      </w:r>
      <w:r w:rsidRPr="00665DE2">
        <w:rPr>
          <w:rFonts w:ascii="Arial" w:hAnsi="Arial" w:cs="Arial"/>
          <w:sz w:val="24"/>
          <w:szCs w:val="24"/>
        </w:rPr>
        <w:tab/>
        <w:t>Tagespauschale</w:t>
      </w:r>
      <w:r w:rsidRPr="00665DE2">
        <w:rPr>
          <w:rStyle w:val="Funotenzeichen"/>
          <w:rFonts w:ascii="Arial" w:hAnsi="Arial" w:cs="Arial"/>
          <w:sz w:val="24"/>
          <w:szCs w:val="24"/>
        </w:rPr>
        <w:footnoteReference w:id="6"/>
      </w:r>
      <w:r w:rsidRPr="00665DE2">
        <w:rPr>
          <w:rFonts w:ascii="Arial" w:hAnsi="Arial" w:cs="Arial"/>
          <w:sz w:val="24"/>
          <w:szCs w:val="24"/>
        </w:rPr>
        <w:tab/>
      </w:r>
      <w:r w:rsidR="00F67067" w:rsidRPr="00665DE2">
        <w:rPr>
          <w:rFonts w:ascii="Arial" w:hAnsi="Arial" w:cs="Arial"/>
          <w:sz w:val="24"/>
          <w:szCs w:val="24"/>
        </w:rPr>
        <w:tab/>
      </w:r>
      <w:r w:rsidRPr="00665DE2">
        <w:rPr>
          <w:rFonts w:ascii="Arial" w:hAnsi="Arial" w:cs="Arial"/>
          <w:sz w:val="24"/>
          <w:szCs w:val="24"/>
        </w:rPr>
        <w:t>Monatspauschale</w:t>
      </w:r>
      <w:r w:rsidRPr="00665DE2">
        <w:rPr>
          <w:rStyle w:val="Funotenzeichen"/>
          <w:rFonts w:ascii="Arial" w:hAnsi="Arial" w:cs="Arial"/>
          <w:sz w:val="24"/>
          <w:szCs w:val="24"/>
        </w:rPr>
        <w:footnoteReference w:id="7"/>
      </w:r>
    </w:p>
    <w:p w14:paraId="6C2A61F2" w14:textId="318200D2" w:rsidR="00F9325D" w:rsidRPr="00665DE2" w:rsidRDefault="004363A0" w:rsidP="001B0EBE">
      <w:pPr>
        <w:tabs>
          <w:tab w:val="left" w:pos="993"/>
          <w:tab w:val="left" w:pos="155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IBB 0</w:t>
      </w:r>
      <w:r w:rsidRPr="00665DE2">
        <w:rPr>
          <w:rStyle w:val="Funotenzeichen"/>
          <w:rFonts w:ascii="Arial" w:hAnsi="Arial" w:cs="Arial"/>
          <w:sz w:val="24"/>
          <w:szCs w:val="24"/>
        </w:rPr>
        <w:footnoteReference w:id="8"/>
      </w:r>
      <w:r w:rsidRPr="00665DE2">
        <w:rPr>
          <w:rFonts w:ascii="Arial" w:hAnsi="Arial" w:cs="Arial"/>
          <w:sz w:val="24"/>
          <w:szCs w:val="24"/>
        </w:rPr>
        <w:t xml:space="preserve"> </w:t>
      </w:r>
      <w:r w:rsidRPr="00665DE2">
        <w:rPr>
          <w:rFonts w:ascii="Arial" w:hAnsi="Arial" w:cs="Arial"/>
          <w:sz w:val="24"/>
          <w:szCs w:val="24"/>
        </w:rPr>
        <w:tab/>
      </w:r>
      <w:r w:rsidRPr="00665DE2">
        <w:rPr>
          <w:rFonts w:ascii="Arial" w:hAnsi="Arial" w:cs="Arial"/>
          <w:sz w:val="24"/>
          <w:szCs w:val="24"/>
        </w:rPr>
        <w:tab/>
      </w:r>
      <w:r w:rsidR="00F9325D" w:rsidRPr="00665DE2">
        <w:rPr>
          <w:rFonts w:ascii="Arial" w:hAnsi="Arial" w:cs="Arial"/>
          <w:sz w:val="24"/>
          <w:szCs w:val="24"/>
        </w:rPr>
        <w:t xml:space="preserve">Fr. </w:t>
      </w:r>
      <w:r w:rsidR="005C0D64" w:rsidRPr="00665DE2">
        <w:rPr>
          <w:rFonts w:ascii="Arial" w:hAnsi="Arial" w:cs="Arial"/>
          <w:sz w:val="24"/>
          <w:szCs w:val="24"/>
        </w:rPr>
        <w:t>…</w:t>
      </w:r>
      <w:r w:rsidR="00D91683" w:rsidRPr="00665DE2">
        <w:rPr>
          <w:rFonts w:ascii="Arial" w:hAnsi="Arial" w:cs="Arial"/>
          <w:sz w:val="24"/>
          <w:szCs w:val="24"/>
        </w:rPr>
        <w:t>1</w:t>
      </w:r>
      <w:r w:rsidR="00695A57" w:rsidRPr="00665DE2">
        <w:rPr>
          <w:rFonts w:ascii="Arial" w:hAnsi="Arial" w:cs="Arial"/>
          <w:sz w:val="24"/>
          <w:szCs w:val="24"/>
        </w:rPr>
        <w:t>3</w:t>
      </w:r>
      <w:r w:rsidR="009747BC">
        <w:rPr>
          <w:rFonts w:ascii="Arial" w:hAnsi="Arial" w:cs="Arial"/>
          <w:sz w:val="24"/>
          <w:szCs w:val="24"/>
        </w:rPr>
        <w:t>7</w:t>
      </w:r>
      <w:r w:rsidR="00D91683" w:rsidRPr="00665DE2">
        <w:rPr>
          <w:rFonts w:ascii="Arial" w:hAnsi="Arial" w:cs="Arial"/>
          <w:sz w:val="24"/>
          <w:szCs w:val="24"/>
        </w:rPr>
        <w:t>.00</w:t>
      </w:r>
      <w:r w:rsidR="00F67067" w:rsidRPr="00665DE2">
        <w:rPr>
          <w:rFonts w:ascii="Arial" w:hAnsi="Arial" w:cs="Arial"/>
          <w:sz w:val="24"/>
          <w:szCs w:val="24"/>
        </w:rPr>
        <w:tab/>
      </w:r>
      <w:r w:rsidR="00A858E7" w:rsidRPr="00665DE2">
        <w:rPr>
          <w:rFonts w:ascii="Arial" w:hAnsi="Arial" w:cs="Arial"/>
          <w:sz w:val="24"/>
          <w:szCs w:val="24"/>
        </w:rPr>
        <w:tab/>
      </w:r>
      <w:r w:rsidRPr="00665DE2">
        <w:rPr>
          <w:rFonts w:ascii="Arial" w:hAnsi="Arial" w:cs="Arial"/>
          <w:sz w:val="24"/>
          <w:szCs w:val="24"/>
        </w:rPr>
        <w:t xml:space="preserve">Fr. </w:t>
      </w:r>
      <w:r w:rsidR="005C0D64" w:rsidRPr="00665DE2">
        <w:rPr>
          <w:rFonts w:ascii="Arial" w:hAnsi="Arial" w:cs="Arial"/>
          <w:sz w:val="24"/>
          <w:szCs w:val="24"/>
        </w:rPr>
        <w:t>…</w:t>
      </w:r>
      <w:r w:rsidR="005C0D64" w:rsidRPr="00665DE2">
        <w:rPr>
          <w:rFonts w:ascii="Arial" w:hAnsi="Arial" w:cs="Arial"/>
          <w:sz w:val="24"/>
          <w:szCs w:val="24"/>
        </w:rPr>
        <w:tab/>
      </w:r>
      <w:r w:rsidR="009747BC">
        <w:rPr>
          <w:rFonts w:ascii="Arial" w:hAnsi="Arial" w:cs="Arial"/>
          <w:sz w:val="24"/>
          <w:szCs w:val="24"/>
        </w:rPr>
        <w:t>4‘17</w:t>
      </w:r>
      <w:r w:rsidR="002040B9" w:rsidRPr="00665DE2">
        <w:rPr>
          <w:rFonts w:ascii="Arial" w:hAnsi="Arial" w:cs="Arial"/>
          <w:sz w:val="24"/>
          <w:szCs w:val="24"/>
        </w:rPr>
        <w:t>0</w:t>
      </w:r>
      <w:r w:rsidR="00D91683" w:rsidRPr="00665DE2">
        <w:rPr>
          <w:rFonts w:ascii="Arial" w:hAnsi="Arial" w:cs="Arial"/>
          <w:sz w:val="24"/>
          <w:szCs w:val="24"/>
        </w:rPr>
        <w:t>.00</w:t>
      </w:r>
      <w:r w:rsidRPr="00665DE2">
        <w:rPr>
          <w:rFonts w:ascii="Arial" w:hAnsi="Arial" w:cs="Arial"/>
          <w:sz w:val="24"/>
          <w:szCs w:val="24"/>
        </w:rPr>
        <w:br/>
        <w:t>IBB 1 - 4</w:t>
      </w:r>
      <w:r w:rsidRPr="00665DE2">
        <w:rPr>
          <w:rFonts w:ascii="Arial" w:hAnsi="Arial" w:cs="Arial"/>
          <w:sz w:val="24"/>
          <w:szCs w:val="24"/>
        </w:rPr>
        <w:tab/>
      </w:r>
      <w:r w:rsidRPr="00665DE2">
        <w:rPr>
          <w:rFonts w:ascii="Arial" w:hAnsi="Arial" w:cs="Arial"/>
          <w:sz w:val="24"/>
          <w:szCs w:val="24"/>
        </w:rPr>
        <w:tab/>
        <w:t xml:space="preserve">Fr. </w:t>
      </w:r>
      <w:r w:rsidR="00A858E7" w:rsidRPr="00665DE2">
        <w:rPr>
          <w:rFonts w:ascii="Arial" w:hAnsi="Arial" w:cs="Arial"/>
          <w:sz w:val="24"/>
          <w:szCs w:val="24"/>
        </w:rPr>
        <w:t>…</w:t>
      </w:r>
      <w:r w:rsidR="00D91683" w:rsidRPr="00665DE2">
        <w:rPr>
          <w:rFonts w:ascii="Arial" w:hAnsi="Arial" w:cs="Arial"/>
          <w:sz w:val="24"/>
          <w:szCs w:val="24"/>
        </w:rPr>
        <w:t>1</w:t>
      </w:r>
      <w:r w:rsidR="00695A57" w:rsidRPr="00665DE2">
        <w:rPr>
          <w:rFonts w:ascii="Arial" w:hAnsi="Arial" w:cs="Arial"/>
          <w:sz w:val="24"/>
          <w:szCs w:val="24"/>
        </w:rPr>
        <w:t>6</w:t>
      </w:r>
      <w:r w:rsidR="009747BC">
        <w:rPr>
          <w:rFonts w:ascii="Arial" w:hAnsi="Arial" w:cs="Arial"/>
          <w:sz w:val="24"/>
          <w:szCs w:val="24"/>
        </w:rPr>
        <w:t>8</w:t>
      </w:r>
      <w:r w:rsidR="00D91683" w:rsidRPr="00665DE2">
        <w:rPr>
          <w:rFonts w:ascii="Arial" w:hAnsi="Arial" w:cs="Arial"/>
          <w:sz w:val="24"/>
          <w:szCs w:val="24"/>
        </w:rPr>
        <w:t>.00</w:t>
      </w:r>
      <w:r w:rsidR="005C0D64" w:rsidRPr="00665DE2">
        <w:rPr>
          <w:rFonts w:ascii="Arial" w:hAnsi="Arial" w:cs="Arial"/>
          <w:sz w:val="24"/>
          <w:szCs w:val="24"/>
        </w:rPr>
        <w:tab/>
      </w:r>
      <w:r w:rsidR="00A858E7" w:rsidRPr="00665DE2">
        <w:rPr>
          <w:rFonts w:ascii="Arial" w:hAnsi="Arial" w:cs="Arial"/>
          <w:sz w:val="24"/>
          <w:szCs w:val="24"/>
        </w:rPr>
        <w:tab/>
      </w:r>
      <w:r w:rsidRPr="00665DE2">
        <w:rPr>
          <w:rFonts w:ascii="Arial" w:hAnsi="Arial" w:cs="Arial"/>
          <w:sz w:val="24"/>
          <w:szCs w:val="24"/>
        </w:rPr>
        <w:t xml:space="preserve">Fr. </w:t>
      </w:r>
      <w:r w:rsidR="005C0D64" w:rsidRPr="00665DE2">
        <w:rPr>
          <w:rFonts w:ascii="Arial" w:hAnsi="Arial" w:cs="Arial"/>
          <w:sz w:val="24"/>
          <w:szCs w:val="24"/>
        </w:rPr>
        <w:t>…</w:t>
      </w:r>
      <w:r w:rsidR="005C0D64" w:rsidRPr="00665DE2">
        <w:rPr>
          <w:rFonts w:ascii="Arial" w:hAnsi="Arial" w:cs="Arial"/>
          <w:sz w:val="24"/>
          <w:szCs w:val="24"/>
        </w:rPr>
        <w:tab/>
      </w:r>
      <w:r w:rsidR="002040B9" w:rsidRPr="00665DE2">
        <w:rPr>
          <w:rFonts w:ascii="Arial" w:hAnsi="Arial" w:cs="Arial"/>
          <w:sz w:val="24"/>
          <w:szCs w:val="24"/>
        </w:rPr>
        <w:t>5</w:t>
      </w:r>
      <w:r w:rsidR="00B67451" w:rsidRPr="00665DE2">
        <w:rPr>
          <w:rFonts w:ascii="Arial" w:hAnsi="Arial" w:cs="Arial"/>
          <w:sz w:val="24"/>
          <w:szCs w:val="24"/>
        </w:rPr>
        <w:t>‘</w:t>
      </w:r>
      <w:r w:rsidR="009747BC">
        <w:rPr>
          <w:rFonts w:ascii="Arial" w:hAnsi="Arial" w:cs="Arial"/>
          <w:sz w:val="24"/>
          <w:szCs w:val="24"/>
        </w:rPr>
        <w:t>11</w:t>
      </w:r>
      <w:r w:rsidR="002040B9" w:rsidRPr="00665DE2">
        <w:rPr>
          <w:rFonts w:ascii="Arial" w:hAnsi="Arial" w:cs="Arial"/>
          <w:sz w:val="24"/>
          <w:szCs w:val="24"/>
        </w:rPr>
        <w:t>0</w:t>
      </w:r>
      <w:r w:rsidR="00695A57" w:rsidRPr="00665DE2">
        <w:rPr>
          <w:rFonts w:ascii="Arial" w:hAnsi="Arial" w:cs="Arial"/>
          <w:sz w:val="24"/>
          <w:szCs w:val="24"/>
        </w:rPr>
        <w:t>.00</w:t>
      </w:r>
      <w:r w:rsidRPr="00665DE2">
        <w:rPr>
          <w:rFonts w:ascii="Arial" w:hAnsi="Arial" w:cs="Arial"/>
          <w:sz w:val="24"/>
          <w:szCs w:val="24"/>
        </w:rPr>
        <w:br/>
      </w:r>
      <w:r w:rsidR="00F9325D" w:rsidRPr="00665DE2">
        <w:rPr>
          <w:rFonts w:ascii="Arial" w:hAnsi="Arial" w:cs="Arial"/>
          <w:sz w:val="24"/>
          <w:szCs w:val="24"/>
        </w:rPr>
        <w:br/>
      </w:r>
      <w:r w:rsidR="00C65CDE" w:rsidRPr="00665DE2">
        <w:rPr>
          <w:rFonts w:ascii="Arial" w:hAnsi="Arial" w:cs="Arial"/>
          <w:sz w:val="24"/>
          <w:szCs w:val="24"/>
        </w:rPr>
        <w:t xml:space="preserve">Bei </w:t>
      </w:r>
      <w:r w:rsidR="00F9325D" w:rsidRPr="00665DE2">
        <w:rPr>
          <w:rFonts w:ascii="Arial" w:hAnsi="Arial" w:cs="Arial"/>
          <w:sz w:val="24"/>
          <w:szCs w:val="24"/>
        </w:rPr>
        <w:t>Ferien- und Timeoutplätze</w:t>
      </w:r>
      <w:r w:rsidR="00C65CDE" w:rsidRPr="00665DE2">
        <w:rPr>
          <w:rFonts w:ascii="Arial" w:hAnsi="Arial" w:cs="Arial"/>
          <w:sz w:val="24"/>
          <w:szCs w:val="24"/>
        </w:rPr>
        <w:t>n</w:t>
      </w:r>
      <w:r w:rsidR="00F9325D" w:rsidRPr="00665DE2">
        <w:rPr>
          <w:rFonts w:ascii="Arial" w:hAnsi="Arial" w:cs="Arial"/>
          <w:sz w:val="24"/>
          <w:szCs w:val="24"/>
        </w:rPr>
        <w:t xml:space="preserve"> erhöht sich der Tagessatz um Fr. 15.</w:t>
      </w:r>
      <w:r w:rsidR="00C65CDE" w:rsidRPr="00665DE2">
        <w:rPr>
          <w:rFonts w:ascii="Arial" w:hAnsi="Arial" w:cs="Arial"/>
          <w:sz w:val="24"/>
          <w:szCs w:val="24"/>
        </w:rPr>
        <w:t>-.</w:t>
      </w:r>
    </w:p>
    <w:p w14:paraId="3DF34269" w14:textId="77777777" w:rsidR="001F25F0" w:rsidRPr="00665DE2" w:rsidRDefault="001F25F0" w:rsidP="001B0EB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06B3FF3" w14:textId="01582733" w:rsidR="004363A0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 xml:space="preserve">Voraussetzung zur Bestimmung der </w:t>
      </w:r>
      <w:proofErr w:type="spellStart"/>
      <w:r w:rsidRPr="00665DE2">
        <w:rPr>
          <w:rFonts w:ascii="Arial" w:hAnsi="Arial" w:cs="Arial"/>
          <w:sz w:val="24"/>
          <w:szCs w:val="24"/>
        </w:rPr>
        <w:t>Taxhöhe</w:t>
      </w:r>
      <w:proofErr w:type="spellEnd"/>
      <w:r w:rsidRPr="00665DE2">
        <w:rPr>
          <w:rFonts w:ascii="Arial" w:hAnsi="Arial" w:cs="Arial"/>
          <w:sz w:val="24"/>
          <w:szCs w:val="24"/>
        </w:rPr>
        <w:t xml:space="preserve"> ist die Kenntnis der IBB-Stufe. Vor dem defin</w:t>
      </w:r>
      <w:r w:rsidRPr="00665DE2">
        <w:rPr>
          <w:rFonts w:ascii="Arial" w:hAnsi="Arial" w:cs="Arial"/>
          <w:sz w:val="24"/>
          <w:szCs w:val="24"/>
        </w:rPr>
        <w:t>i</w:t>
      </w:r>
      <w:r w:rsidRPr="00665DE2">
        <w:rPr>
          <w:rFonts w:ascii="Arial" w:hAnsi="Arial" w:cs="Arial"/>
          <w:sz w:val="24"/>
          <w:szCs w:val="24"/>
        </w:rPr>
        <w:t>tiven Eintrittsentscheid erhält die interessierte Person eine Offerte, auf der die durch uns geschätzte IBB-Stufe aufgeführt ist. Die definitive Festlegung der IBB-Stufe kann bis zu drei Monate beanspruchen. Spätere Anpassungen der Taxen aufgrund einer Änderung der IBB-Stufe werden den Bewohnerinnen und Bewohnern mit einer Vorlaufzeit von drei Monaten angekündigt.</w:t>
      </w:r>
      <w:r w:rsidRPr="00665DE2">
        <w:rPr>
          <w:rFonts w:ascii="Arial" w:hAnsi="Arial" w:cs="Arial"/>
          <w:sz w:val="24"/>
          <w:szCs w:val="24"/>
        </w:rPr>
        <w:br/>
      </w:r>
    </w:p>
    <w:p w14:paraId="7D8106D2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Rückerstattung bei Abwesenheiten</w:t>
      </w:r>
    </w:p>
    <w:p w14:paraId="59EF934F" w14:textId="40A7375E" w:rsidR="004363A0" w:rsidRPr="00665DE2" w:rsidRDefault="004363A0" w:rsidP="001B0EBE">
      <w:pPr>
        <w:pStyle w:val="Default"/>
        <w:ind w:right="323"/>
        <w:rPr>
          <w:rFonts w:ascii="Arial" w:hAnsi="Arial" w:cs="Arial"/>
          <w:color w:val="auto"/>
        </w:rPr>
      </w:pPr>
      <w:r w:rsidRPr="00665DE2">
        <w:rPr>
          <w:rFonts w:ascii="Arial" w:hAnsi="Arial" w:cs="Arial"/>
          <w:color w:val="auto"/>
        </w:rPr>
        <w:t>Pro Abwesenheitstag erhalten Bewohnerinnen und Bewohner einen Teil der Taxe z</w:t>
      </w:r>
      <w:r w:rsidRPr="00665DE2">
        <w:rPr>
          <w:rFonts w:ascii="Arial" w:hAnsi="Arial" w:cs="Arial"/>
          <w:color w:val="auto"/>
        </w:rPr>
        <w:t>u</w:t>
      </w:r>
      <w:r w:rsidRPr="00665DE2">
        <w:rPr>
          <w:rFonts w:ascii="Arial" w:hAnsi="Arial" w:cs="Arial"/>
          <w:color w:val="auto"/>
        </w:rPr>
        <w:t>rückerstattet. Der Abwesenheitstag ist folgendermassen definiert: Abwesenheit in der Nacht verbunden mit der Abwesenheit an zwei zeitlich da</w:t>
      </w:r>
      <w:r w:rsidR="001855DE" w:rsidRPr="00665DE2">
        <w:rPr>
          <w:rFonts w:ascii="Arial" w:hAnsi="Arial" w:cs="Arial"/>
          <w:color w:val="auto"/>
        </w:rPr>
        <w:t>ran gebundenen Hauptmahlze</w:t>
      </w:r>
      <w:r w:rsidR="001855DE" w:rsidRPr="00665DE2">
        <w:rPr>
          <w:rFonts w:ascii="Arial" w:hAnsi="Arial" w:cs="Arial"/>
          <w:color w:val="auto"/>
        </w:rPr>
        <w:t>i</w:t>
      </w:r>
      <w:r w:rsidR="001855DE" w:rsidRPr="00665DE2">
        <w:rPr>
          <w:rFonts w:ascii="Arial" w:hAnsi="Arial" w:cs="Arial"/>
          <w:color w:val="auto"/>
        </w:rPr>
        <w:t xml:space="preserve">ten </w:t>
      </w:r>
    </w:p>
    <w:p w14:paraId="56F322A0" w14:textId="5803548D" w:rsidR="004363A0" w:rsidRPr="00665DE2" w:rsidRDefault="00484442" w:rsidP="001B0EBE">
      <w:pPr>
        <w:pStyle w:val="Default"/>
        <w:ind w:right="323"/>
        <w:rPr>
          <w:rFonts w:ascii="Arial" w:hAnsi="Arial" w:cs="Arial"/>
          <w:color w:val="auto"/>
        </w:rPr>
      </w:pPr>
      <w:r w:rsidRPr="00665DE2">
        <w:rPr>
          <w:rFonts w:ascii="Arial" w:hAnsi="Arial" w:cs="Arial"/>
          <w:color w:val="auto"/>
        </w:rPr>
        <w:t>Mögliche</w:t>
      </w:r>
      <w:r w:rsidR="004363A0" w:rsidRPr="00665DE2">
        <w:rPr>
          <w:rFonts w:ascii="Arial" w:hAnsi="Arial" w:cs="Arial"/>
          <w:color w:val="auto"/>
        </w:rPr>
        <w:t xml:space="preserve"> Varianten: </w:t>
      </w:r>
    </w:p>
    <w:p w14:paraId="488447AA" w14:textId="77777777" w:rsidR="004363A0" w:rsidRPr="00665DE2" w:rsidRDefault="004363A0" w:rsidP="001B0EBE">
      <w:pPr>
        <w:pStyle w:val="Default"/>
        <w:ind w:left="258" w:right="321" w:firstLine="450"/>
        <w:rPr>
          <w:rFonts w:ascii="Arial" w:hAnsi="Arial" w:cs="Arial"/>
          <w:color w:val="auto"/>
        </w:rPr>
      </w:pPr>
      <w:r w:rsidRPr="00665DE2">
        <w:rPr>
          <w:rFonts w:ascii="Arial" w:hAnsi="Arial" w:cs="Arial"/>
          <w:color w:val="auto"/>
        </w:rPr>
        <w:t xml:space="preserve">- Mittagessen, Abendessen, Nacht </w:t>
      </w:r>
    </w:p>
    <w:p w14:paraId="15BE220C" w14:textId="77777777" w:rsidR="004363A0" w:rsidRPr="00665DE2" w:rsidRDefault="004363A0" w:rsidP="001B0EBE">
      <w:pPr>
        <w:pStyle w:val="Default"/>
        <w:ind w:left="258" w:right="321" w:firstLine="450"/>
        <w:rPr>
          <w:rFonts w:ascii="Arial" w:hAnsi="Arial" w:cs="Arial"/>
          <w:color w:val="auto"/>
        </w:rPr>
      </w:pPr>
      <w:r w:rsidRPr="00665DE2">
        <w:rPr>
          <w:rFonts w:ascii="Arial" w:hAnsi="Arial" w:cs="Arial"/>
          <w:color w:val="auto"/>
        </w:rPr>
        <w:t xml:space="preserve">- Abendessen, Nacht, Mittagessen </w:t>
      </w:r>
    </w:p>
    <w:p w14:paraId="798C330D" w14:textId="77777777" w:rsidR="001855DE" w:rsidRPr="00665DE2" w:rsidRDefault="004363A0" w:rsidP="001B0EB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- Nacht, Mittagessen, Abendessen</w:t>
      </w:r>
    </w:p>
    <w:p w14:paraId="0885F2D7" w14:textId="77777777" w:rsidR="00ED798B" w:rsidRPr="00665DE2" w:rsidRDefault="00ED798B" w:rsidP="001B0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511D7" w14:textId="338552EC" w:rsidR="001855DE" w:rsidRPr="00665DE2" w:rsidRDefault="001855DE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 xml:space="preserve">Ankündigungsfrist: keine </w:t>
      </w:r>
    </w:p>
    <w:p w14:paraId="2E157713" w14:textId="77777777" w:rsidR="00ED798B" w:rsidRPr="00665DE2" w:rsidRDefault="00ED798B" w:rsidP="001B0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CC5EA" w14:textId="2CE96D1E" w:rsidR="004363A0" w:rsidRPr="00665DE2" w:rsidRDefault="001855DE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Betrag der Rückerstattung pro Abwesenheitstag: Fr. 2</w:t>
      </w:r>
      <w:r w:rsidR="00CF5BC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665DE2">
        <w:rPr>
          <w:rFonts w:ascii="Arial" w:hAnsi="Arial" w:cs="Arial"/>
          <w:sz w:val="24"/>
          <w:szCs w:val="24"/>
        </w:rPr>
        <w:t xml:space="preserve"> plus allfällige </w:t>
      </w:r>
      <w:proofErr w:type="spellStart"/>
      <w:r w:rsidRPr="00665DE2">
        <w:rPr>
          <w:rFonts w:ascii="Arial" w:hAnsi="Arial" w:cs="Arial"/>
          <w:sz w:val="24"/>
          <w:szCs w:val="24"/>
        </w:rPr>
        <w:t>Hilflosenentschäd</w:t>
      </w:r>
      <w:r w:rsidRPr="00665DE2">
        <w:rPr>
          <w:rFonts w:ascii="Arial" w:hAnsi="Arial" w:cs="Arial"/>
          <w:sz w:val="24"/>
          <w:szCs w:val="24"/>
        </w:rPr>
        <w:t>i</w:t>
      </w:r>
      <w:r w:rsidRPr="00665DE2">
        <w:rPr>
          <w:rFonts w:ascii="Arial" w:hAnsi="Arial" w:cs="Arial"/>
          <w:sz w:val="24"/>
          <w:szCs w:val="24"/>
        </w:rPr>
        <w:t>gung</w:t>
      </w:r>
      <w:proofErr w:type="spellEnd"/>
      <w:r w:rsidR="00182A0E" w:rsidRPr="00665DE2">
        <w:rPr>
          <w:rFonts w:ascii="Arial" w:hAnsi="Arial" w:cs="Arial"/>
          <w:sz w:val="24"/>
          <w:szCs w:val="24"/>
        </w:rPr>
        <w:br/>
      </w:r>
    </w:p>
    <w:p w14:paraId="07618B96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Grundleistungen</w:t>
      </w:r>
    </w:p>
    <w:p w14:paraId="4434AA58" w14:textId="510D8477" w:rsidR="004363A0" w:rsidRPr="00665DE2" w:rsidRDefault="004363A0" w:rsidP="001B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Grundleistungen sind Leistungen, die mit Taxen abgegolten sind.</w:t>
      </w:r>
    </w:p>
    <w:p w14:paraId="3377DC4B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bCs/>
          <w:sz w:val="24"/>
          <w:szCs w:val="24"/>
        </w:rPr>
        <w:t>Unterkunft</w:t>
      </w:r>
      <w:r w:rsidRPr="00665DE2">
        <w:rPr>
          <w:rFonts w:ascii="Arial" w:hAnsi="Arial" w:cs="Arial"/>
          <w:sz w:val="24"/>
          <w:szCs w:val="24"/>
        </w:rPr>
        <w:t xml:space="preserve"> (inkl. Nebenkosten) und </w:t>
      </w:r>
      <w:r w:rsidRPr="00665DE2">
        <w:rPr>
          <w:rFonts w:ascii="Arial" w:hAnsi="Arial" w:cs="Arial"/>
          <w:b/>
          <w:bCs/>
          <w:sz w:val="24"/>
          <w:szCs w:val="24"/>
        </w:rPr>
        <w:t>Verpflegung</w:t>
      </w:r>
      <w:r w:rsidRPr="00665DE2">
        <w:rPr>
          <w:rFonts w:ascii="Arial" w:hAnsi="Arial" w:cs="Arial"/>
          <w:sz w:val="24"/>
          <w:szCs w:val="24"/>
        </w:rPr>
        <w:t xml:space="preserve"> (inkl. Spezialessen sowie Diäten - sofern nicht KVG-pflichtig)</w:t>
      </w:r>
    </w:p>
    <w:p w14:paraId="184AF96C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bCs/>
          <w:sz w:val="24"/>
          <w:szCs w:val="24"/>
        </w:rPr>
        <w:t xml:space="preserve">Möblierung des Zimmers </w:t>
      </w:r>
      <w:r w:rsidRPr="00665DE2">
        <w:rPr>
          <w:rFonts w:ascii="Arial" w:hAnsi="Arial" w:cs="Arial"/>
          <w:bCs/>
          <w:sz w:val="24"/>
          <w:szCs w:val="24"/>
        </w:rPr>
        <w:t>oder</w:t>
      </w:r>
      <w:r w:rsidRPr="00665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5DE2">
        <w:rPr>
          <w:rFonts w:ascii="Arial" w:hAnsi="Arial" w:cs="Arial"/>
          <w:sz w:val="24"/>
          <w:szCs w:val="24"/>
        </w:rPr>
        <w:t>Unterstützung der Einrichtung des Zimmers mit e</w:t>
      </w:r>
      <w:r w:rsidRPr="00665DE2">
        <w:rPr>
          <w:rFonts w:ascii="Arial" w:hAnsi="Arial" w:cs="Arial"/>
          <w:sz w:val="24"/>
          <w:szCs w:val="24"/>
        </w:rPr>
        <w:t>i</w:t>
      </w:r>
      <w:r w:rsidRPr="00665DE2">
        <w:rPr>
          <w:rFonts w:ascii="Arial" w:hAnsi="Arial" w:cs="Arial"/>
          <w:sz w:val="24"/>
          <w:szCs w:val="24"/>
        </w:rPr>
        <w:t>genen Möbeln</w:t>
      </w:r>
    </w:p>
    <w:p w14:paraId="0F4F655A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 xml:space="preserve">Mitbenutzung der </w:t>
      </w:r>
      <w:r w:rsidRPr="00665DE2">
        <w:rPr>
          <w:rFonts w:ascii="Arial" w:hAnsi="Arial" w:cs="Arial"/>
          <w:b/>
          <w:bCs/>
          <w:sz w:val="24"/>
          <w:szCs w:val="24"/>
        </w:rPr>
        <w:t xml:space="preserve">Sanitär- und Gemeinschaftsräume </w:t>
      </w:r>
      <w:r w:rsidRPr="00665DE2">
        <w:rPr>
          <w:rFonts w:ascii="Arial" w:hAnsi="Arial" w:cs="Arial"/>
          <w:sz w:val="24"/>
          <w:szCs w:val="24"/>
        </w:rPr>
        <w:t>sowie des Mobiliars</w:t>
      </w:r>
    </w:p>
    <w:p w14:paraId="73EFDB40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bCs/>
          <w:sz w:val="24"/>
          <w:szCs w:val="24"/>
        </w:rPr>
        <w:t>Reinigung gemeinschaftliche Räume sowie Zimmerreinigung</w:t>
      </w:r>
      <w:r w:rsidRPr="00665DE2">
        <w:rPr>
          <w:rFonts w:ascii="Arial" w:hAnsi="Arial" w:cs="Arial"/>
          <w:sz w:val="24"/>
          <w:szCs w:val="24"/>
        </w:rPr>
        <w:t xml:space="preserve"> oder Unterstützung der Bewohnerinnen (gemäss Betriebs- und Betreuungskonzept)</w:t>
      </w:r>
    </w:p>
    <w:p w14:paraId="53BB10DF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bCs/>
          <w:sz w:val="24"/>
          <w:szCs w:val="24"/>
        </w:rPr>
        <w:t>Betreuung und Unterstützung</w:t>
      </w:r>
      <w:r w:rsidRPr="00665DE2">
        <w:rPr>
          <w:rFonts w:ascii="Arial" w:hAnsi="Arial" w:cs="Arial"/>
          <w:sz w:val="24"/>
          <w:szCs w:val="24"/>
        </w:rPr>
        <w:t xml:space="preserve"> gemäss Betriebs- und Betreuungskonzept</w:t>
      </w:r>
    </w:p>
    <w:p w14:paraId="4A832722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bCs/>
          <w:sz w:val="24"/>
          <w:szCs w:val="24"/>
        </w:rPr>
        <w:t>Grundpflege</w:t>
      </w:r>
      <w:r w:rsidRPr="00665DE2">
        <w:rPr>
          <w:rFonts w:ascii="Arial" w:hAnsi="Arial" w:cs="Arial"/>
          <w:sz w:val="24"/>
          <w:szCs w:val="24"/>
        </w:rPr>
        <w:t xml:space="preserve"> und Pflege bei leichten Krankheitsfällen (im Rahmen des Betriebs- und Betreuungskonzeptes). Bei Leistungen, deren Kosten ganz oder teilweise vom Kra</w:t>
      </w:r>
      <w:r w:rsidRPr="00665DE2">
        <w:rPr>
          <w:rFonts w:ascii="Arial" w:hAnsi="Arial" w:cs="Arial"/>
          <w:sz w:val="24"/>
          <w:szCs w:val="24"/>
        </w:rPr>
        <w:t>n</w:t>
      </w:r>
      <w:r w:rsidRPr="00665DE2">
        <w:rPr>
          <w:rFonts w:ascii="Arial" w:hAnsi="Arial" w:cs="Arial"/>
          <w:sz w:val="24"/>
          <w:szCs w:val="24"/>
        </w:rPr>
        <w:lastRenderedPageBreak/>
        <w:t>kenversicherer oder von weiteren Zahlungspflichtigen (wie Unfallversicherungen) übernommen werden müssen, können für die Bewohnerin oder den Bewohner weit</w:t>
      </w:r>
      <w:r w:rsidRPr="00665DE2">
        <w:rPr>
          <w:rFonts w:ascii="Arial" w:hAnsi="Arial" w:cs="Arial"/>
          <w:sz w:val="24"/>
          <w:szCs w:val="24"/>
        </w:rPr>
        <w:t>e</w:t>
      </w:r>
      <w:r w:rsidRPr="00665DE2">
        <w:rPr>
          <w:rFonts w:ascii="Arial" w:hAnsi="Arial" w:cs="Arial"/>
          <w:sz w:val="24"/>
          <w:szCs w:val="24"/>
        </w:rPr>
        <w:t>re Kosten anfallen. Neben dem Selbstbehalt und der Franchise sind bei einer durch die Spitex durchgeführten Langzeitpflege die Patientenbeteiligung und die Restko</w:t>
      </w:r>
      <w:r w:rsidRPr="00665DE2">
        <w:rPr>
          <w:rFonts w:ascii="Arial" w:hAnsi="Arial" w:cs="Arial"/>
          <w:sz w:val="24"/>
          <w:szCs w:val="24"/>
        </w:rPr>
        <w:t>s</w:t>
      </w:r>
      <w:r w:rsidRPr="00665DE2">
        <w:rPr>
          <w:rFonts w:ascii="Arial" w:hAnsi="Arial" w:cs="Arial"/>
          <w:sz w:val="24"/>
          <w:szCs w:val="24"/>
        </w:rPr>
        <w:t>tenbeteiligung der Gemeinden relevant.</w:t>
      </w:r>
    </w:p>
    <w:p w14:paraId="24812150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Cs/>
          <w:sz w:val="24"/>
          <w:szCs w:val="24"/>
        </w:rPr>
        <w:t>Kleiderreinigung</w:t>
      </w:r>
      <w:r w:rsidRPr="00665DE2">
        <w:rPr>
          <w:rFonts w:ascii="Arial" w:hAnsi="Arial" w:cs="Arial"/>
          <w:sz w:val="24"/>
          <w:szCs w:val="24"/>
        </w:rPr>
        <w:t xml:space="preserve"> (ohne chemische Reinigung) oder Möglichkeit zur (unterstützten) selbständigen Reinigung der persönlichen Wäsche (Umsetzung gemäss Betriebs- und Betreuungskonzept)</w:t>
      </w:r>
    </w:p>
    <w:p w14:paraId="08E7CB5D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bCs/>
          <w:sz w:val="24"/>
          <w:szCs w:val="24"/>
        </w:rPr>
        <w:t xml:space="preserve">Bettwäsche und Frotteewäsche </w:t>
      </w:r>
      <w:r w:rsidRPr="00665DE2">
        <w:rPr>
          <w:rFonts w:ascii="Arial" w:hAnsi="Arial" w:cs="Arial"/>
          <w:sz w:val="24"/>
          <w:szCs w:val="24"/>
        </w:rPr>
        <w:t>(falls nicht von der Bewohnerin oder dem Bewo</w:t>
      </w:r>
      <w:r w:rsidRPr="00665DE2">
        <w:rPr>
          <w:rFonts w:ascii="Arial" w:hAnsi="Arial" w:cs="Arial"/>
          <w:sz w:val="24"/>
          <w:szCs w:val="24"/>
        </w:rPr>
        <w:t>h</w:t>
      </w:r>
      <w:r w:rsidRPr="00665DE2">
        <w:rPr>
          <w:rFonts w:ascii="Arial" w:hAnsi="Arial" w:cs="Arial"/>
          <w:sz w:val="24"/>
          <w:szCs w:val="24"/>
        </w:rPr>
        <w:t>ner selbst gestellt)</w:t>
      </w:r>
    </w:p>
    <w:p w14:paraId="3F716555" w14:textId="20089B24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 xml:space="preserve">Materialien des täglichen Bedarfs </w:t>
      </w:r>
      <w:r w:rsidRPr="00665DE2">
        <w:rPr>
          <w:rFonts w:ascii="Arial" w:hAnsi="Arial" w:cs="Arial"/>
          <w:sz w:val="24"/>
          <w:szCs w:val="24"/>
        </w:rPr>
        <w:t>(beispielsweise Taschentücher, Pinzetten oder Pflaster)</w:t>
      </w:r>
    </w:p>
    <w:p w14:paraId="7C4950B5" w14:textId="7C285D04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Cs/>
          <w:sz w:val="24"/>
          <w:szCs w:val="24"/>
        </w:rPr>
        <w:t>Transport und Begleitung für den</w:t>
      </w:r>
      <w:r w:rsidRPr="00665DE2">
        <w:rPr>
          <w:rFonts w:ascii="Arial" w:hAnsi="Arial" w:cs="Arial"/>
          <w:b/>
          <w:bCs/>
          <w:sz w:val="24"/>
          <w:szCs w:val="24"/>
        </w:rPr>
        <w:t xml:space="preserve"> Arztbesuch und Therapien </w:t>
      </w:r>
      <w:r w:rsidRPr="00665DE2">
        <w:rPr>
          <w:rFonts w:ascii="Arial" w:hAnsi="Arial" w:cs="Arial"/>
          <w:bCs/>
          <w:sz w:val="24"/>
          <w:szCs w:val="24"/>
        </w:rPr>
        <w:t xml:space="preserve">(inkl. </w:t>
      </w:r>
      <w:proofErr w:type="spellStart"/>
      <w:r w:rsidRPr="00665DE2">
        <w:rPr>
          <w:rFonts w:ascii="Arial" w:hAnsi="Arial" w:cs="Arial"/>
          <w:bCs/>
          <w:sz w:val="24"/>
          <w:szCs w:val="24"/>
        </w:rPr>
        <w:t>Podologie</w:t>
      </w:r>
      <w:proofErr w:type="spellEnd"/>
      <w:r w:rsidRPr="00665DE2">
        <w:rPr>
          <w:rFonts w:ascii="Arial" w:hAnsi="Arial" w:cs="Arial"/>
          <w:bCs/>
          <w:sz w:val="24"/>
          <w:szCs w:val="24"/>
        </w:rPr>
        <w:t xml:space="preserve"> und Dentalhygiene)</w:t>
      </w:r>
    </w:p>
    <w:p w14:paraId="23AA2000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Cs/>
          <w:sz w:val="24"/>
          <w:szCs w:val="24"/>
        </w:rPr>
        <w:t>Transport und Begleitung bei</w:t>
      </w:r>
      <w:r w:rsidRPr="00665DE2">
        <w:rPr>
          <w:rFonts w:ascii="Arial" w:hAnsi="Arial" w:cs="Arial"/>
          <w:b/>
          <w:sz w:val="24"/>
          <w:szCs w:val="24"/>
        </w:rPr>
        <w:t xml:space="preserve"> </w:t>
      </w:r>
      <w:r w:rsidRPr="00665DE2">
        <w:rPr>
          <w:rFonts w:ascii="Arial" w:hAnsi="Arial" w:cs="Arial"/>
          <w:b/>
          <w:bCs/>
          <w:sz w:val="24"/>
          <w:szCs w:val="24"/>
        </w:rPr>
        <w:t>Behördengängen</w:t>
      </w:r>
      <w:r w:rsidRPr="00665DE2">
        <w:rPr>
          <w:rFonts w:ascii="Arial" w:hAnsi="Arial" w:cs="Arial"/>
          <w:b/>
          <w:sz w:val="24"/>
          <w:szCs w:val="24"/>
        </w:rPr>
        <w:t xml:space="preserve"> </w:t>
      </w:r>
      <w:r w:rsidRPr="00665DE2">
        <w:rPr>
          <w:rFonts w:ascii="Arial" w:hAnsi="Arial" w:cs="Arial"/>
          <w:sz w:val="24"/>
          <w:szCs w:val="24"/>
        </w:rPr>
        <w:t>(exklusive reine Transportkosten)</w:t>
      </w:r>
    </w:p>
    <w:p w14:paraId="509A575F" w14:textId="48752D3D" w:rsidR="004363A0" w:rsidRPr="00665DE2" w:rsidRDefault="004363A0" w:rsidP="001B0E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 xml:space="preserve">Nicht KVG-pflichtige Therapien </w:t>
      </w:r>
      <w:r w:rsidRPr="00665DE2">
        <w:rPr>
          <w:rFonts w:ascii="Arial" w:hAnsi="Arial" w:cs="Arial"/>
          <w:sz w:val="24"/>
          <w:szCs w:val="24"/>
        </w:rPr>
        <w:t>gemäss Betriebs- und Betreuungskonzept</w:t>
      </w:r>
    </w:p>
    <w:p w14:paraId="4C16BA44" w14:textId="0ADE1917" w:rsidR="004363A0" w:rsidRPr="00665DE2" w:rsidRDefault="004363A0" w:rsidP="001B0E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b/>
          <w:bCs/>
          <w:sz w:val="24"/>
          <w:szCs w:val="24"/>
        </w:rPr>
        <w:t xml:space="preserve">Kollektive Freizeitangebote </w:t>
      </w:r>
    </w:p>
    <w:p w14:paraId="1EF4ABFB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Transport, Begleitung und Betreuung bei</w:t>
      </w:r>
      <w:r w:rsidRPr="00665DE2">
        <w:rPr>
          <w:rFonts w:ascii="Arial" w:hAnsi="Arial" w:cs="Arial"/>
          <w:bCs/>
          <w:sz w:val="24"/>
          <w:szCs w:val="24"/>
        </w:rPr>
        <w:t xml:space="preserve"> </w:t>
      </w:r>
      <w:r w:rsidRPr="00665DE2">
        <w:rPr>
          <w:rFonts w:ascii="Arial" w:hAnsi="Arial" w:cs="Arial"/>
          <w:b/>
          <w:sz w:val="24"/>
          <w:szCs w:val="24"/>
        </w:rPr>
        <w:t>individuellen Freizeitaktivitäten</w:t>
      </w:r>
      <w:r w:rsidRPr="00665DE2">
        <w:rPr>
          <w:rFonts w:ascii="Arial" w:hAnsi="Arial" w:cs="Arial"/>
          <w:bCs/>
          <w:sz w:val="24"/>
          <w:szCs w:val="24"/>
        </w:rPr>
        <w:t xml:space="preserve"> </w:t>
      </w:r>
      <w:r w:rsidRPr="00665DE2">
        <w:rPr>
          <w:rFonts w:ascii="Arial" w:hAnsi="Arial" w:cs="Arial"/>
          <w:sz w:val="24"/>
          <w:szCs w:val="24"/>
        </w:rPr>
        <w:t xml:space="preserve">gemäss Betriebs- und Betreuungskonzept </w:t>
      </w:r>
    </w:p>
    <w:p w14:paraId="2B767787" w14:textId="77777777" w:rsidR="004363A0" w:rsidRPr="00665DE2" w:rsidRDefault="004363A0" w:rsidP="001B0E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 xml:space="preserve">Übliche </w:t>
      </w:r>
      <w:r w:rsidRPr="00665DE2">
        <w:rPr>
          <w:rFonts w:ascii="Arial" w:hAnsi="Arial" w:cs="Arial"/>
          <w:b/>
          <w:bCs/>
          <w:sz w:val="24"/>
          <w:szCs w:val="24"/>
        </w:rPr>
        <w:t>Aufwendungen</w:t>
      </w:r>
      <w:r w:rsidRPr="00665DE2">
        <w:rPr>
          <w:rFonts w:ascii="Arial" w:hAnsi="Arial" w:cs="Arial"/>
          <w:sz w:val="24"/>
          <w:szCs w:val="24"/>
        </w:rPr>
        <w:t xml:space="preserve"> zur Durchführung und Administration von </w:t>
      </w:r>
      <w:r w:rsidRPr="00665DE2">
        <w:rPr>
          <w:rFonts w:ascii="Arial" w:hAnsi="Arial" w:cs="Arial"/>
          <w:b/>
          <w:bCs/>
          <w:sz w:val="24"/>
          <w:szCs w:val="24"/>
        </w:rPr>
        <w:t>Ein- und Austri</w:t>
      </w:r>
      <w:r w:rsidRPr="00665DE2">
        <w:rPr>
          <w:rFonts w:ascii="Arial" w:hAnsi="Arial" w:cs="Arial"/>
          <w:b/>
          <w:bCs/>
          <w:sz w:val="24"/>
          <w:szCs w:val="24"/>
        </w:rPr>
        <w:t>t</w:t>
      </w:r>
      <w:r w:rsidRPr="00665DE2">
        <w:rPr>
          <w:rFonts w:ascii="Arial" w:hAnsi="Arial" w:cs="Arial"/>
          <w:b/>
          <w:bCs/>
          <w:sz w:val="24"/>
          <w:szCs w:val="24"/>
        </w:rPr>
        <w:t xml:space="preserve">ten </w:t>
      </w:r>
    </w:p>
    <w:p w14:paraId="3D3A6C16" w14:textId="6279B629" w:rsidR="004363A0" w:rsidRPr="00665DE2" w:rsidRDefault="00DC2C6A" w:rsidP="001B0E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Sicherstellung der</w:t>
      </w:r>
      <w:r w:rsidR="004363A0" w:rsidRPr="00665DE2">
        <w:rPr>
          <w:rFonts w:ascii="Arial" w:hAnsi="Arial" w:cs="Arial"/>
          <w:sz w:val="24"/>
          <w:szCs w:val="24"/>
        </w:rPr>
        <w:t xml:space="preserve"> Leistungen (insbesondere Unterkunft, Verpflegung, Betreuung s</w:t>
      </w:r>
      <w:r w:rsidR="004363A0" w:rsidRPr="00665DE2">
        <w:rPr>
          <w:rFonts w:ascii="Arial" w:hAnsi="Arial" w:cs="Arial"/>
          <w:sz w:val="24"/>
          <w:szCs w:val="24"/>
        </w:rPr>
        <w:t>o</w:t>
      </w:r>
      <w:r w:rsidR="004363A0" w:rsidRPr="00665DE2">
        <w:rPr>
          <w:rFonts w:ascii="Arial" w:hAnsi="Arial" w:cs="Arial"/>
          <w:sz w:val="24"/>
          <w:szCs w:val="24"/>
        </w:rPr>
        <w:t xml:space="preserve">wie Pflege) </w:t>
      </w:r>
      <w:r w:rsidR="004363A0" w:rsidRPr="00665DE2">
        <w:rPr>
          <w:rFonts w:ascii="Arial" w:hAnsi="Arial" w:cs="Arial"/>
          <w:b/>
          <w:bCs/>
          <w:sz w:val="24"/>
          <w:szCs w:val="24"/>
        </w:rPr>
        <w:t>an 365 (366) Tagen pro Jahr</w:t>
      </w:r>
    </w:p>
    <w:p w14:paraId="05515758" w14:textId="47E1B20D" w:rsidR="004363A0" w:rsidRPr="00665DE2" w:rsidRDefault="00FA666B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br/>
      </w:r>
      <w:r w:rsidR="004363A0" w:rsidRPr="00665DE2">
        <w:rPr>
          <w:rFonts w:ascii="Arial" w:hAnsi="Arial" w:cs="Arial"/>
          <w:b/>
          <w:sz w:val="24"/>
          <w:szCs w:val="24"/>
        </w:rPr>
        <w:t>Leistungen mit Kostenbeteiligung</w:t>
      </w:r>
    </w:p>
    <w:p w14:paraId="7361F8FD" w14:textId="77777777" w:rsidR="00412760" w:rsidRPr="00665DE2" w:rsidRDefault="0041276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908C29" w14:textId="4F5BA722" w:rsidR="004363A0" w:rsidRPr="00665DE2" w:rsidRDefault="00412760" w:rsidP="00412760">
      <w:pPr>
        <w:tabs>
          <w:tab w:val="left" w:pos="993"/>
          <w:tab w:val="left" w:pos="2127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Leistung</w:t>
      </w:r>
      <w:r w:rsidRPr="00665DE2">
        <w:rPr>
          <w:rFonts w:ascii="Arial" w:hAnsi="Arial" w:cs="Arial"/>
          <w:b/>
          <w:sz w:val="24"/>
          <w:szCs w:val="24"/>
        </w:rPr>
        <w:tab/>
      </w:r>
      <w:r w:rsidR="004363A0" w:rsidRPr="00665DE2">
        <w:rPr>
          <w:rFonts w:ascii="Arial" w:hAnsi="Arial" w:cs="Arial"/>
          <w:b/>
          <w:sz w:val="24"/>
          <w:szCs w:val="24"/>
        </w:rPr>
        <w:t>Preis</w:t>
      </w:r>
      <w:r w:rsidR="004363A0" w:rsidRPr="00665DE2">
        <w:rPr>
          <w:rFonts w:ascii="Arial" w:hAnsi="Arial" w:cs="Arial"/>
          <w:b/>
          <w:sz w:val="24"/>
          <w:szCs w:val="24"/>
        </w:rPr>
        <w:tab/>
        <w:t>Bemerkungen</w:t>
      </w:r>
    </w:p>
    <w:p w14:paraId="3430EF53" w14:textId="5DA7A027" w:rsidR="00A16E2B" w:rsidRPr="00665DE2" w:rsidRDefault="00A16E2B" w:rsidP="00412760">
      <w:pPr>
        <w:tabs>
          <w:tab w:val="left" w:pos="993"/>
          <w:tab w:val="left" w:pos="2127"/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Ferienlager</w:t>
      </w:r>
      <w:r w:rsidRPr="00665DE2">
        <w:rPr>
          <w:rFonts w:ascii="Arial" w:hAnsi="Arial" w:cs="Arial"/>
          <w:sz w:val="24"/>
          <w:szCs w:val="24"/>
        </w:rPr>
        <w:tab/>
        <w:t>250.00</w:t>
      </w:r>
      <w:r w:rsidRPr="00665DE2">
        <w:rPr>
          <w:rFonts w:ascii="Arial" w:hAnsi="Arial" w:cs="Arial"/>
          <w:sz w:val="24"/>
          <w:szCs w:val="24"/>
        </w:rPr>
        <w:tab/>
        <w:t>Beteiligung pro teilnehmende Person</w:t>
      </w:r>
    </w:p>
    <w:p w14:paraId="705DB56B" w14:textId="5942403F" w:rsidR="004363A0" w:rsidRPr="00665DE2" w:rsidRDefault="00A16E2B" w:rsidP="00412760">
      <w:pPr>
        <w:tabs>
          <w:tab w:val="left" w:pos="993"/>
          <w:tab w:val="left" w:pos="2127"/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Ferienangebote</w:t>
      </w:r>
      <w:r w:rsidRPr="00665DE2">
        <w:rPr>
          <w:rFonts w:ascii="Arial" w:hAnsi="Arial" w:cs="Arial"/>
          <w:sz w:val="24"/>
          <w:szCs w:val="24"/>
        </w:rPr>
        <w:tab/>
        <w:t>individuell</w:t>
      </w:r>
      <w:r w:rsidRPr="00665DE2">
        <w:rPr>
          <w:rFonts w:ascii="Arial" w:hAnsi="Arial" w:cs="Arial"/>
          <w:sz w:val="24"/>
          <w:szCs w:val="24"/>
        </w:rPr>
        <w:tab/>
        <w:t>je nach Angebot</w:t>
      </w:r>
      <w:r w:rsidR="00FA666B" w:rsidRPr="00665DE2">
        <w:rPr>
          <w:rFonts w:ascii="Arial" w:hAnsi="Arial" w:cs="Arial"/>
          <w:sz w:val="24"/>
          <w:szCs w:val="24"/>
        </w:rPr>
        <w:br/>
      </w:r>
    </w:p>
    <w:p w14:paraId="60110EC7" w14:textId="335862FB" w:rsidR="00DF7156" w:rsidRPr="00665DE2" w:rsidRDefault="00DF7156" w:rsidP="001B0EBE">
      <w:pPr>
        <w:pStyle w:val="berschrift2"/>
        <w:spacing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Zuschlag für Personen ohne IV-Rente in den Wohn-, Tages- und Werkstätten</w:t>
      </w:r>
    </w:p>
    <w:p w14:paraId="0970CBE0" w14:textId="77777777" w:rsidR="00DF7156" w:rsidRPr="00665DE2" w:rsidRDefault="00DF7156" w:rsidP="001B0EBE">
      <w:pPr>
        <w:spacing w:after="0" w:line="240" w:lineRule="auto"/>
        <w:rPr>
          <w:rFonts w:ascii="Arial" w:hAnsi="Arial"/>
          <w:sz w:val="24"/>
          <w:szCs w:val="24"/>
        </w:rPr>
      </w:pPr>
      <w:r w:rsidRPr="00665DE2">
        <w:rPr>
          <w:rFonts w:ascii="Arial" w:hAnsi="Arial"/>
          <w:sz w:val="24"/>
          <w:szCs w:val="24"/>
        </w:rPr>
        <w:t>Da nur für die Wohnheim- und Tagesstrukturplätze unserer Bewohnerinnen und Bewohner mit einer IV-Rente kantonale Betriebsbeiträge ausgerichtet werden, müssen für diejenigen ohne IV-Rente folgende Zuschläge erhoben werden:</w:t>
      </w:r>
    </w:p>
    <w:p w14:paraId="1E9E3F6B" w14:textId="77777777" w:rsidR="001B0EBE" w:rsidRPr="00665DE2" w:rsidRDefault="001B0EBE" w:rsidP="001B0EBE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Style w:val="Tabellenraster"/>
        <w:tblW w:w="9219" w:type="dxa"/>
        <w:tblLook w:val="04A0" w:firstRow="1" w:lastRow="0" w:firstColumn="1" w:lastColumn="0" w:noHBand="0" w:noVBand="1"/>
      </w:tblPr>
      <w:tblGrid>
        <w:gridCol w:w="6379"/>
        <w:gridCol w:w="1236"/>
        <w:gridCol w:w="1604"/>
      </w:tblGrid>
      <w:tr w:rsidR="00665DE2" w:rsidRPr="00665DE2" w14:paraId="166BD894" w14:textId="77777777" w:rsidTr="00A148A5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FD95A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>Position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509F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>Zuschlag in Fr.</w:t>
            </w:r>
          </w:p>
        </w:tc>
      </w:tr>
      <w:tr w:rsidR="00665DE2" w:rsidRPr="00665DE2" w14:paraId="0A01EC44" w14:textId="77777777" w:rsidTr="00A148A5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00F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56E" w14:textId="77777777" w:rsidR="00DF7156" w:rsidRPr="00665DE2" w:rsidRDefault="00DF7156" w:rsidP="001B0EBE">
            <w:pPr>
              <w:spacing w:line="240" w:lineRule="auto"/>
              <w:jc w:val="right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 xml:space="preserve">je </w:t>
            </w:r>
            <w:proofErr w:type="spellStart"/>
            <w:r w:rsidRPr="00665DE2">
              <w:rPr>
                <w:rFonts w:ascii="Arial" w:hAnsi="Arial"/>
                <w:b/>
              </w:rPr>
              <w:t>Halbtag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89B" w14:textId="77777777" w:rsidR="00DF7156" w:rsidRPr="00665DE2" w:rsidRDefault="00DF7156" w:rsidP="001B0EBE">
            <w:pPr>
              <w:spacing w:line="240" w:lineRule="auto"/>
              <w:jc w:val="right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>je Tag</w:t>
            </w:r>
          </w:p>
        </w:tc>
      </w:tr>
      <w:tr w:rsidR="00665DE2" w:rsidRPr="00665DE2" w14:paraId="42F4197F" w14:textId="77777777" w:rsidTr="00A148A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AE6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Zuschlag Wohnheim inkl. Tagesstruktur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3E4" w14:textId="77777777" w:rsidR="00DF7156" w:rsidRPr="00665DE2" w:rsidRDefault="00DF7156" w:rsidP="001B0EBE">
            <w:pPr>
              <w:spacing w:line="240" w:lineRule="auto"/>
              <w:ind w:right="97"/>
              <w:jc w:val="right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D5A" w14:textId="77777777" w:rsidR="00DF7156" w:rsidRPr="00665DE2" w:rsidRDefault="00DF7156" w:rsidP="001B0EBE">
            <w:pPr>
              <w:spacing w:line="240" w:lineRule="auto"/>
              <w:ind w:right="53"/>
              <w:jc w:val="right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162.00</w:t>
            </w:r>
          </w:p>
        </w:tc>
      </w:tr>
      <w:tr w:rsidR="00DF7156" w:rsidRPr="00665DE2" w14:paraId="7F9E6B62" w14:textId="77777777" w:rsidTr="00A148A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418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Zuschlag Tagesstruktur in Werkstatt (wenn nicht gleichze</w:t>
            </w:r>
            <w:r w:rsidRPr="00665DE2">
              <w:rPr>
                <w:rFonts w:ascii="Arial" w:hAnsi="Arial"/>
              </w:rPr>
              <w:t>i</w:t>
            </w:r>
            <w:r w:rsidRPr="00665DE2">
              <w:rPr>
                <w:rFonts w:ascii="Arial" w:hAnsi="Arial"/>
              </w:rPr>
              <w:t>tig die Leistungen unseres Wohnheims der Stiftung Fintan, Sozialtherapie beansprucht werden)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716" w14:textId="77777777" w:rsidR="00DF7156" w:rsidRPr="00665DE2" w:rsidRDefault="00DF7156" w:rsidP="001B0EBE">
            <w:pPr>
              <w:spacing w:line="240" w:lineRule="auto"/>
              <w:ind w:right="97"/>
              <w:jc w:val="right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70.00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CB7" w14:textId="77777777" w:rsidR="00DF7156" w:rsidRPr="00665DE2" w:rsidRDefault="00DF7156" w:rsidP="001B0EBE">
            <w:pPr>
              <w:spacing w:line="240" w:lineRule="auto"/>
              <w:ind w:right="53"/>
              <w:jc w:val="right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140.00</w:t>
            </w:r>
          </w:p>
        </w:tc>
      </w:tr>
    </w:tbl>
    <w:p w14:paraId="0C3C561B" w14:textId="4FA6DE9A" w:rsidR="001B0EBE" w:rsidRPr="00665DE2" w:rsidRDefault="001B0EBE" w:rsidP="001B0EBE">
      <w:pPr>
        <w:spacing w:after="0" w:line="240" w:lineRule="auto"/>
        <w:rPr>
          <w:rFonts w:ascii="Arial" w:hAnsi="Arial"/>
        </w:rPr>
      </w:pPr>
    </w:p>
    <w:p w14:paraId="4FB6AC5C" w14:textId="77777777" w:rsidR="001B0EBE" w:rsidRPr="00665DE2" w:rsidRDefault="001B0EBE" w:rsidP="001B0EBE">
      <w:pPr>
        <w:spacing w:after="0" w:line="240" w:lineRule="auto"/>
        <w:rPr>
          <w:rFonts w:ascii="Arial" w:hAnsi="Arial"/>
        </w:rPr>
      </w:pPr>
      <w:r w:rsidRPr="00665DE2">
        <w:rPr>
          <w:rFonts w:ascii="Arial" w:hAnsi="Arial"/>
        </w:rPr>
        <w:br w:type="page"/>
      </w:r>
    </w:p>
    <w:p w14:paraId="3C7E2D91" w14:textId="77777777" w:rsidR="00DF7156" w:rsidRPr="00665DE2" w:rsidRDefault="00DF7156" w:rsidP="001B0EBE">
      <w:pPr>
        <w:spacing w:after="0" w:line="240" w:lineRule="auto"/>
        <w:rPr>
          <w:rFonts w:ascii="Arial" w:hAnsi="Arial"/>
        </w:rPr>
      </w:pPr>
    </w:p>
    <w:p w14:paraId="01BFFFB0" w14:textId="73C5C9A4" w:rsidR="00DF7156" w:rsidRPr="00665DE2" w:rsidRDefault="00DF7156" w:rsidP="001B0EBE">
      <w:pPr>
        <w:pStyle w:val="berschrift2"/>
        <w:spacing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Taxen für Personen im Massnahmenvollzug (siehe Kooperationsvertrag mit der PUK)</w:t>
      </w:r>
    </w:p>
    <w:p w14:paraId="3DC0A70E" w14:textId="77777777" w:rsidR="00DF7156" w:rsidRPr="00665DE2" w:rsidRDefault="00DF7156" w:rsidP="001B0EBE">
      <w:pPr>
        <w:spacing w:after="0" w:line="240" w:lineRule="auto"/>
        <w:rPr>
          <w:rFonts w:ascii="Arial" w:hAnsi="Arial"/>
          <w:sz w:val="24"/>
          <w:szCs w:val="24"/>
        </w:rPr>
      </w:pPr>
      <w:r w:rsidRPr="00665DE2">
        <w:rPr>
          <w:rFonts w:ascii="Arial" w:hAnsi="Arial"/>
          <w:sz w:val="24"/>
          <w:szCs w:val="24"/>
        </w:rPr>
        <w:t>Für die Durchführung eines Massnahmenvollzugs wird anstelle der Grundtaxe und der Z</w:t>
      </w:r>
      <w:r w:rsidRPr="00665DE2">
        <w:rPr>
          <w:rFonts w:ascii="Arial" w:hAnsi="Arial"/>
          <w:sz w:val="24"/>
          <w:szCs w:val="24"/>
        </w:rPr>
        <w:t>u</w:t>
      </w:r>
      <w:r w:rsidRPr="00665DE2">
        <w:rPr>
          <w:rFonts w:ascii="Arial" w:hAnsi="Arial"/>
          <w:sz w:val="24"/>
          <w:szCs w:val="24"/>
        </w:rPr>
        <w:t>schläge und Reduktionen gemäss 2.2 und 2.3 pauschal je Tag erhoben:</w:t>
      </w:r>
    </w:p>
    <w:p w14:paraId="0ADEC0FC" w14:textId="77777777" w:rsidR="001B0EBE" w:rsidRPr="00665DE2" w:rsidRDefault="001B0EBE" w:rsidP="001B0EBE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002"/>
        <w:gridCol w:w="1479"/>
      </w:tblGrid>
      <w:tr w:rsidR="00665DE2" w:rsidRPr="00665DE2" w14:paraId="6F6D074E" w14:textId="77777777" w:rsidTr="00A148A5">
        <w:tc>
          <w:tcPr>
            <w:tcW w:w="6374" w:type="dxa"/>
            <w:vMerge w:val="restart"/>
          </w:tcPr>
          <w:p w14:paraId="4A27DA66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>Position</w:t>
            </w:r>
          </w:p>
        </w:tc>
        <w:tc>
          <w:tcPr>
            <w:tcW w:w="2481" w:type="dxa"/>
            <w:gridSpan w:val="2"/>
          </w:tcPr>
          <w:p w14:paraId="75F2672C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>Zuschlag in Fr. je Tag</w:t>
            </w:r>
          </w:p>
        </w:tc>
      </w:tr>
      <w:tr w:rsidR="00665DE2" w:rsidRPr="00665DE2" w14:paraId="5409887A" w14:textId="77777777" w:rsidTr="00A148A5">
        <w:tc>
          <w:tcPr>
            <w:tcW w:w="6374" w:type="dxa"/>
            <w:vMerge/>
          </w:tcPr>
          <w:p w14:paraId="44BE3325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002" w:type="dxa"/>
          </w:tcPr>
          <w:p w14:paraId="4FBCFD5D" w14:textId="17AAC877" w:rsidR="00DF7156" w:rsidRPr="00665DE2" w:rsidRDefault="00DF7156" w:rsidP="009747BC">
            <w:pPr>
              <w:spacing w:line="240" w:lineRule="auto"/>
              <w:jc w:val="right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 xml:space="preserve">je </w:t>
            </w:r>
            <w:r w:rsidR="009747BC">
              <w:rPr>
                <w:rFonts w:ascii="Arial" w:hAnsi="Arial"/>
                <w:b/>
              </w:rPr>
              <w:t>halber T</w:t>
            </w:r>
            <w:r w:rsidRPr="00665DE2">
              <w:rPr>
                <w:rFonts w:ascii="Arial" w:hAnsi="Arial"/>
                <w:b/>
              </w:rPr>
              <w:t>ag</w:t>
            </w:r>
          </w:p>
        </w:tc>
        <w:tc>
          <w:tcPr>
            <w:tcW w:w="1479" w:type="dxa"/>
          </w:tcPr>
          <w:p w14:paraId="2050BA58" w14:textId="77777777" w:rsidR="00DF7156" w:rsidRPr="00665DE2" w:rsidRDefault="00DF7156" w:rsidP="001B0EBE">
            <w:pPr>
              <w:spacing w:line="240" w:lineRule="auto"/>
              <w:jc w:val="right"/>
              <w:rPr>
                <w:rFonts w:ascii="Arial" w:hAnsi="Arial"/>
                <w:b/>
              </w:rPr>
            </w:pPr>
            <w:r w:rsidRPr="00665DE2">
              <w:rPr>
                <w:rFonts w:ascii="Arial" w:hAnsi="Arial"/>
                <w:b/>
              </w:rPr>
              <w:t>je Tag</w:t>
            </w:r>
          </w:p>
        </w:tc>
      </w:tr>
      <w:tr w:rsidR="00665DE2" w:rsidRPr="00665DE2" w14:paraId="0AFCC79D" w14:textId="77777777" w:rsidTr="00A148A5">
        <w:tc>
          <w:tcPr>
            <w:tcW w:w="6374" w:type="dxa"/>
          </w:tcPr>
          <w:p w14:paraId="0CC5873E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Massnahmenvollzug kombiniert in dem Wohnheim und in den Werkstätten der Stiftung Fintan, Sozialtherapie</w:t>
            </w:r>
          </w:p>
        </w:tc>
        <w:tc>
          <w:tcPr>
            <w:tcW w:w="1002" w:type="dxa"/>
          </w:tcPr>
          <w:p w14:paraId="10E1FD9D" w14:textId="77777777" w:rsidR="00DF7156" w:rsidRPr="00665DE2" w:rsidRDefault="00DF7156" w:rsidP="001B0EBE">
            <w:pPr>
              <w:spacing w:line="240" w:lineRule="auto"/>
              <w:jc w:val="right"/>
              <w:rPr>
                <w:rFonts w:ascii="Arial" w:hAnsi="Arial"/>
              </w:rPr>
            </w:pPr>
          </w:p>
          <w:p w14:paraId="48CB2A54" w14:textId="77777777" w:rsidR="00DF7156" w:rsidRPr="00665DE2" w:rsidRDefault="00DF7156" w:rsidP="001B0EBE">
            <w:pPr>
              <w:spacing w:line="240" w:lineRule="auto"/>
              <w:jc w:val="center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---</w:t>
            </w:r>
          </w:p>
        </w:tc>
        <w:tc>
          <w:tcPr>
            <w:tcW w:w="1479" w:type="dxa"/>
          </w:tcPr>
          <w:p w14:paraId="3523BE7E" w14:textId="77777777" w:rsidR="00DF7156" w:rsidRPr="00665DE2" w:rsidRDefault="00DF7156" w:rsidP="001B0EBE">
            <w:pPr>
              <w:spacing w:line="240" w:lineRule="auto"/>
              <w:jc w:val="right"/>
              <w:rPr>
                <w:rFonts w:ascii="Arial" w:hAnsi="Arial"/>
              </w:rPr>
            </w:pPr>
          </w:p>
          <w:p w14:paraId="374FC9C8" w14:textId="77777777" w:rsidR="00DF7156" w:rsidRPr="00665DE2" w:rsidRDefault="00DF7156" w:rsidP="001B0EBE">
            <w:pPr>
              <w:spacing w:line="240" w:lineRule="auto"/>
              <w:jc w:val="center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Nach Bedarf und Verei</w:t>
            </w:r>
            <w:r w:rsidRPr="00665DE2">
              <w:rPr>
                <w:rFonts w:ascii="Arial" w:hAnsi="Arial"/>
              </w:rPr>
              <w:t>n</w:t>
            </w:r>
            <w:r w:rsidRPr="00665DE2">
              <w:rPr>
                <w:rFonts w:ascii="Arial" w:hAnsi="Arial"/>
              </w:rPr>
              <w:t>barung</w:t>
            </w:r>
          </w:p>
        </w:tc>
      </w:tr>
      <w:tr w:rsidR="00DF7156" w:rsidRPr="00665DE2" w14:paraId="7A53517C" w14:textId="77777777" w:rsidTr="00A148A5">
        <w:tc>
          <w:tcPr>
            <w:tcW w:w="6374" w:type="dxa"/>
          </w:tcPr>
          <w:p w14:paraId="1E82903A" w14:textId="77777777" w:rsidR="00DF7156" w:rsidRPr="00665DE2" w:rsidRDefault="00DF7156" w:rsidP="001B0EBE">
            <w:pPr>
              <w:spacing w:line="240" w:lineRule="auto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Massnahmenvollzug  in den Werkstätten je nach Betre</w:t>
            </w:r>
            <w:r w:rsidRPr="00665DE2">
              <w:rPr>
                <w:rFonts w:ascii="Arial" w:hAnsi="Arial"/>
              </w:rPr>
              <w:t>u</w:t>
            </w:r>
            <w:r w:rsidRPr="00665DE2">
              <w:rPr>
                <w:rFonts w:ascii="Arial" w:hAnsi="Arial"/>
              </w:rPr>
              <w:t>ungsbedarf (leicht bis hoch)</w:t>
            </w:r>
          </w:p>
        </w:tc>
        <w:tc>
          <w:tcPr>
            <w:tcW w:w="1002" w:type="dxa"/>
          </w:tcPr>
          <w:p w14:paraId="11E3D1C5" w14:textId="77777777" w:rsidR="00DF7156" w:rsidRPr="00665DE2" w:rsidRDefault="00DF7156" w:rsidP="001B0EBE">
            <w:pPr>
              <w:spacing w:line="240" w:lineRule="auto"/>
              <w:jc w:val="center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---</w:t>
            </w:r>
          </w:p>
        </w:tc>
        <w:tc>
          <w:tcPr>
            <w:tcW w:w="1479" w:type="dxa"/>
          </w:tcPr>
          <w:p w14:paraId="6BF33E17" w14:textId="77777777" w:rsidR="00DF7156" w:rsidRPr="00665DE2" w:rsidRDefault="00DF7156" w:rsidP="001B0EBE">
            <w:pPr>
              <w:spacing w:line="240" w:lineRule="auto"/>
              <w:jc w:val="center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 xml:space="preserve">125.00 </w:t>
            </w:r>
          </w:p>
          <w:p w14:paraId="6DA1FC27" w14:textId="77777777" w:rsidR="00DF7156" w:rsidRPr="00665DE2" w:rsidRDefault="00DF7156" w:rsidP="001B0EBE">
            <w:pPr>
              <w:spacing w:line="240" w:lineRule="auto"/>
              <w:jc w:val="center"/>
              <w:rPr>
                <w:rFonts w:ascii="Arial" w:hAnsi="Arial"/>
              </w:rPr>
            </w:pPr>
            <w:r w:rsidRPr="00665DE2">
              <w:rPr>
                <w:rFonts w:ascii="Arial" w:hAnsi="Arial"/>
              </w:rPr>
              <w:t>bis 185.00</w:t>
            </w:r>
          </w:p>
        </w:tc>
      </w:tr>
    </w:tbl>
    <w:p w14:paraId="720DFE29" w14:textId="77777777" w:rsidR="00DF7156" w:rsidRPr="00665DE2" w:rsidRDefault="00DF7156" w:rsidP="001B0EBE">
      <w:pPr>
        <w:tabs>
          <w:tab w:val="left" w:pos="993"/>
          <w:tab w:val="left" w:pos="2127"/>
          <w:tab w:val="left" w:pos="3828"/>
        </w:tabs>
        <w:spacing w:afterLines="60" w:after="144" w:line="240" w:lineRule="auto"/>
        <w:rPr>
          <w:rFonts w:ascii="Arial" w:hAnsi="Arial" w:cs="Arial"/>
          <w:sz w:val="24"/>
          <w:szCs w:val="24"/>
        </w:rPr>
      </w:pPr>
    </w:p>
    <w:p w14:paraId="334C18EF" w14:textId="77777777" w:rsidR="004363A0" w:rsidRPr="00665DE2" w:rsidRDefault="004363A0" w:rsidP="001B0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 xml:space="preserve">Gültigkeit der Taxordnung </w:t>
      </w:r>
    </w:p>
    <w:p w14:paraId="09655C4C" w14:textId="61CF2EAC" w:rsidR="004363A0" w:rsidRPr="00665DE2" w:rsidRDefault="004363A0" w:rsidP="001B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DE2">
        <w:rPr>
          <w:rFonts w:ascii="Arial" w:hAnsi="Arial" w:cs="Arial"/>
          <w:sz w:val="24"/>
          <w:szCs w:val="24"/>
        </w:rPr>
        <w:t>Diese Taxordnung gilt für das Jahr 202</w:t>
      </w:r>
      <w:r w:rsidR="009747BC">
        <w:rPr>
          <w:rFonts w:ascii="Arial" w:hAnsi="Arial" w:cs="Arial"/>
          <w:sz w:val="24"/>
          <w:szCs w:val="24"/>
        </w:rPr>
        <w:t>4</w:t>
      </w:r>
      <w:r w:rsidRPr="00665DE2">
        <w:rPr>
          <w:rFonts w:ascii="Arial" w:hAnsi="Arial" w:cs="Arial"/>
          <w:sz w:val="24"/>
          <w:szCs w:val="24"/>
        </w:rPr>
        <w:t>. Das Kantonale Sozialamt legt die Taxen für das Folgejahr jeweils Ende Jahr fest. Die Mitteilung über allfällige Veränderungen der Taxen e</w:t>
      </w:r>
      <w:r w:rsidRPr="00665DE2">
        <w:rPr>
          <w:rFonts w:ascii="Arial" w:hAnsi="Arial" w:cs="Arial"/>
          <w:sz w:val="24"/>
          <w:szCs w:val="24"/>
        </w:rPr>
        <w:t>r</w:t>
      </w:r>
      <w:r w:rsidRPr="00665DE2">
        <w:rPr>
          <w:rFonts w:ascii="Arial" w:hAnsi="Arial" w:cs="Arial"/>
          <w:sz w:val="24"/>
          <w:szCs w:val="24"/>
        </w:rPr>
        <w:t>halten die Bewohnerinnen und Bewohner bis spätestens Mitte Dezember.</w:t>
      </w:r>
    </w:p>
    <w:p w14:paraId="7626E373" w14:textId="77777777" w:rsidR="001B0EBE" w:rsidRPr="00665DE2" w:rsidRDefault="001B0EBE" w:rsidP="001B0EBE">
      <w:pPr>
        <w:spacing w:after="0" w:line="240" w:lineRule="auto"/>
        <w:rPr>
          <w:rFonts w:ascii="Arial" w:hAnsi="Arial"/>
        </w:rPr>
      </w:pPr>
      <w:r w:rsidRPr="00665DE2">
        <w:rPr>
          <w:rFonts w:ascii="Arial" w:hAnsi="Arial"/>
        </w:rPr>
        <w:t>Wir behalten uns Preiserhöhungen im Rahmen der Teuerung vor.</w:t>
      </w:r>
    </w:p>
    <w:p w14:paraId="3DAFC01F" w14:textId="77777777" w:rsidR="00DF7156" w:rsidRPr="00665DE2" w:rsidRDefault="00DF7156" w:rsidP="001B0EBE">
      <w:pPr>
        <w:spacing w:after="0" w:line="240" w:lineRule="auto"/>
        <w:rPr>
          <w:rFonts w:ascii="Arial" w:hAnsi="Arial"/>
        </w:rPr>
      </w:pPr>
    </w:p>
    <w:p w14:paraId="1A6A325E" w14:textId="77777777" w:rsidR="00DF7156" w:rsidRPr="00665DE2" w:rsidRDefault="00DF7156" w:rsidP="001B0EBE">
      <w:pPr>
        <w:pStyle w:val="berschrift2"/>
        <w:spacing w:line="240" w:lineRule="auto"/>
        <w:rPr>
          <w:rFonts w:ascii="Arial" w:hAnsi="Arial" w:cs="Arial"/>
          <w:b/>
          <w:sz w:val="24"/>
          <w:szCs w:val="24"/>
        </w:rPr>
      </w:pPr>
      <w:r w:rsidRPr="00665DE2">
        <w:rPr>
          <w:rFonts w:ascii="Arial" w:hAnsi="Arial" w:cs="Arial"/>
          <w:b/>
          <w:sz w:val="24"/>
          <w:szCs w:val="24"/>
        </w:rPr>
        <w:t>Bewahren Sie diese Verrechnungsliste bitte auf, da sie einen ergänzenden Bestandteil der Wohnvereinbarung darstellt.</w:t>
      </w:r>
    </w:p>
    <w:p w14:paraId="71106707" w14:textId="6997D943" w:rsidR="00B94A96" w:rsidRPr="00665DE2" w:rsidRDefault="00B94A96" w:rsidP="001B0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6AAF8" w14:textId="77777777" w:rsidR="00510BE5" w:rsidRPr="00665DE2" w:rsidRDefault="00510BE5" w:rsidP="001B0EB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0BE5" w:rsidRPr="00665DE2" w:rsidSect="009B6E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36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A5F4" w14:textId="77777777" w:rsidR="002E7805" w:rsidRDefault="002E7805" w:rsidP="00D63CB2">
      <w:pPr>
        <w:spacing w:after="0" w:line="240" w:lineRule="auto"/>
      </w:pPr>
      <w:r>
        <w:separator/>
      </w:r>
    </w:p>
  </w:endnote>
  <w:endnote w:type="continuationSeparator" w:id="0">
    <w:p w14:paraId="4E999F13" w14:textId="77777777" w:rsidR="002E7805" w:rsidRDefault="002E7805" w:rsidP="00D63CB2">
      <w:pPr>
        <w:spacing w:after="0" w:line="240" w:lineRule="auto"/>
      </w:pPr>
      <w:r>
        <w:continuationSeparator/>
      </w:r>
    </w:p>
  </w:endnote>
  <w:endnote w:type="continuationNotice" w:id="1">
    <w:p w14:paraId="172A9D1F" w14:textId="77777777" w:rsidR="002E7805" w:rsidRDefault="002E7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neSansDis-MediumRoman">
    <w:altName w:val="DejaVu Serif Condense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neSansDis-RegularRoman">
    <w:altName w:val="DejaVu Sans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0"/>
      <w:gridCol w:w="2977"/>
      <w:gridCol w:w="1701"/>
      <w:gridCol w:w="1417"/>
    </w:tblGrid>
    <w:tr w:rsidR="00ED767B" w:rsidRPr="00ED767B" w14:paraId="33F2F985" w14:textId="77777777" w:rsidTr="00A148A5">
      <w:tc>
        <w:tcPr>
          <w:tcW w:w="3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E782A5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Dokumenten-Name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8BC89D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Version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9BEC40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Freigeben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C33C74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Seite</w:t>
          </w:r>
        </w:p>
      </w:tc>
    </w:tr>
    <w:tr w:rsidR="00ED767B" w:rsidRPr="00ED767B" w14:paraId="0A4C92C8" w14:textId="77777777" w:rsidTr="00A148A5">
      <w:tc>
        <w:tcPr>
          <w:tcW w:w="3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5B32D2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</w:p>
        <w:p w14:paraId="44B94B0D" w14:textId="359055AB" w:rsidR="00ED767B" w:rsidRPr="00ED767B" w:rsidRDefault="00ED767B" w:rsidP="002040B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snapToGrid w:val="0"/>
              <w:sz w:val="16"/>
              <w:szCs w:val="16"/>
              <w:lang w:eastAsia="ar-SA"/>
            </w:rPr>
            <w:t xml:space="preserve">1.3.4 </w:t>
          </w:r>
          <w:r w:rsidR="002040B9">
            <w:rPr>
              <w:rFonts w:ascii="Arial" w:eastAsia="Times New Roman" w:hAnsi="Arial" w:cs="Arial"/>
              <w:snapToGrid w:val="0"/>
              <w:sz w:val="16"/>
              <w:szCs w:val="16"/>
              <w:lang w:eastAsia="ar-SA"/>
            </w:rPr>
            <w:t>Taxordnung</w:t>
          </w:r>
          <w:r>
            <w:rPr>
              <w:rFonts w:ascii="Arial" w:eastAsia="Times New Roman" w:hAnsi="Arial" w:cs="Arial"/>
              <w:snapToGrid w:val="0"/>
              <w:sz w:val="16"/>
              <w:szCs w:val="16"/>
              <w:lang w:eastAsia="ar-SA"/>
            </w:rPr>
            <w:t xml:space="preserve"> 202</w:t>
          </w:r>
          <w:r w:rsidR="009747BC">
            <w:rPr>
              <w:rFonts w:ascii="Arial" w:eastAsia="Times New Roman" w:hAnsi="Arial" w:cs="Arial"/>
              <w:snapToGrid w:val="0"/>
              <w:sz w:val="16"/>
              <w:szCs w:val="16"/>
              <w:lang w:eastAsia="ar-SA"/>
            </w:rPr>
            <w:t>4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1045F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</w:p>
        <w:p w14:paraId="57917166" w14:textId="5684313B" w:rsidR="00ED767B" w:rsidRPr="00ED767B" w:rsidRDefault="00CF5BC2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6"/>
              <w:szCs w:val="24"/>
              <w:lang w:eastAsia="de-DE"/>
            </w:rPr>
            <w:t>05.12.2023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B83B70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</w:p>
        <w:p w14:paraId="13CCE1F3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GBL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04EBD7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6"/>
              <w:szCs w:val="24"/>
              <w:lang w:eastAsia="de-DE"/>
            </w:rPr>
          </w:pPr>
        </w:p>
        <w:p w14:paraId="75D8694D" w14:textId="77777777" w:rsidR="00ED767B" w:rsidRPr="00ED767B" w:rsidRDefault="00ED767B" w:rsidP="00ED76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t xml:space="preserve">Seite 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begin"/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instrText xml:space="preserve"> PAGE </w:instrTex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separate"/>
          </w:r>
          <w:r w:rsidR="00CF5BC2">
            <w:rPr>
              <w:rFonts w:ascii="Arial" w:eastAsia="Times New Roman" w:hAnsi="Arial" w:cs="Arial"/>
              <w:noProof/>
              <w:snapToGrid w:val="0"/>
              <w:sz w:val="16"/>
              <w:szCs w:val="24"/>
              <w:lang w:eastAsia="ar-SA"/>
            </w:rPr>
            <w:t>2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end"/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t xml:space="preserve"> von 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begin"/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instrText xml:space="preserve"> NUMPAGES </w:instrTex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separate"/>
          </w:r>
          <w:r w:rsidR="00CF5BC2">
            <w:rPr>
              <w:rFonts w:ascii="Arial" w:eastAsia="Times New Roman" w:hAnsi="Arial" w:cs="Arial"/>
              <w:noProof/>
              <w:snapToGrid w:val="0"/>
              <w:sz w:val="16"/>
              <w:szCs w:val="24"/>
              <w:lang w:eastAsia="ar-SA"/>
            </w:rPr>
            <w:t>4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end"/>
          </w:r>
        </w:p>
      </w:tc>
    </w:tr>
  </w:tbl>
  <w:p w14:paraId="7908F89A" w14:textId="29D2EC46" w:rsidR="007E0F9F" w:rsidRPr="00B849F0" w:rsidRDefault="007E0F9F" w:rsidP="00B849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FBB8" w14:textId="6B2004E9" w:rsidR="00A17ECF" w:rsidRPr="00D54559" w:rsidRDefault="00B849F0" w:rsidP="00D54559">
    <w:pPr>
      <w:pStyle w:val="Fuzeile"/>
      <w:jc w:val="center"/>
      <w:rPr>
        <w:rFonts w:ascii="Arial" w:hAnsi="Arial" w:cs="Arial"/>
        <w:sz w:val="16"/>
        <w:szCs w:val="16"/>
      </w:rPr>
    </w:pPr>
    <w:r w:rsidRPr="00D54559">
      <w:rPr>
        <w:rFonts w:ascii="Arial" w:hAnsi="Arial" w:cs="Arial"/>
        <w:sz w:val="16"/>
        <w:szCs w:val="16"/>
      </w:rPr>
      <w:fldChar w:fldCharType="begin"/>
    </w:r>
    <w:r w:rsidRPr="00D54559">
      <w:rPr>
        <w:rFonts w:ascii="Arial" w:hAnsi="Arial" w:cs="Arial"/>
        <w:sz w:val="16"/>
        <w:szCs w:val="16"/>
      </w:rPr>
      <w:instrText xml:space="preserve"> PAGE  \* Arabic  \* MERGEFORMAT </w:instrText>
    </w:r>
    <w:r w:rsidRPr="00D54559">
      <w:rPr>
        <w:rFonts w:ascii="Arial" w:hAnsi="Arial" w:cs="Arial"/>
        <w:sz w:val="16"/>
        <w:szCs w:val="16"/>
      </w:rPr>
      <w:fldChar w:fldCharType="separate"/>
    </w:r>
    <w:r w:rsidR="009B6EC0">
      <w:rPr>
        <w:rFonts w:ascii="Arial" w:hAnsi="Arial" w:cs="Arial"/>
        <w:noProof/>
        <w:sz w:val="16"/>
        <w:szCs w:val="16"/>
      </w:rPr>
      <w:t>1</w:t>
    </w:r>
    <w:r w:rsidRPr="00D54559">
      <w:rPr>
        <w:rFonts w:ascii="Arial" w:hAnsi="Arial" w:cs="Arial"/>
        <w:sz w:val="16"/>
        <w:szCs w:val="16"/>
      </w:rPr>
      <w:fldChar w:fldCharType="end"/>
    </w:r>
    <w:r w:rsidRPr="00D54559">
      <w:rPr>
        <w:rFonts w:ascii="Arial" w:hAnsi="Arial" w:cs="Arial"/>
        <w:sz w:val="16"/>
        <w:szCs w:val="16"/>
      </w:rPr>
      <w:t xml:space="preserve"> von </w:t>
    </w:r>
    <w:r w:rsidRPr="00D54559">
      <w:rPr>
        <w:rFonts w:ascii="Arial" w:hAnsi="Arial" w:cs="Arial"/>
        <w:sz w:val="16"/>
        <w:szCs w:val="16"/>
      </w:rPr>
      <w:fldChar w:fldCharType="begin"/>
    </w:r>
    <w:r w:rsidRPr="00D54559">
      <w:rPr>
        <w:rFonts w:ascii="Arial" w:hAnsi="Arial" w:cs="Arial"/>
        <w:sz w:val="16"/>
        <w:szCs w:val="16"/>
      </w:rPr>
      <w:instrText xml:space="preserve"> SECTIONPAGES  \* Arabic  \* MERGEFORMAT </w:instrText>
    </w:r>
    <w:r w:rsidRPr="00D54559">
      <w:rPr>
        <w:rFonts w:ascii="Arial" w:hAnsi="Arial" w:cs="Arial"/>
        <w:sz w:val="16"/>
        <w:szCs w:val="16"/>
      </w:rPr>
      <w:fldChar w:fldCharType="separate"/>
    </w:r>
    <w:r w:rsidR="009B6EC0">
      <w:rPr>
        <w:rFonts w:ascii="Arial" w:hAnsi="Arial" w:cs="Arial"/>
        <w:noProof/>
        <w:sz w:val="16"/>
        <w:szCs w:val="16"/>
      </w:rPr>
      <w:t>3</w:t>
    </w:r>
    <w:r w:rsidRPr="00D5455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F261" w14:textId="77777777" w:rsidR="002E7805" w:rsidRDefault="002E7805" w:rsidP="00D63CB2">
      <w:pPr>
        <w:spacing w:after="0" w:line="240" w:lineRule="auto"/>
      </w:pPr>
      <w:r>
        <w:separator/>
      </w:r>
    </w:p>
  </w:footnote>
  <w:footnote w:type="continuationSeparator" w:id="0">
    <w:p w14:paraId="6DA918AE" w14:textId="77777777" w:rsidR="002E7805" w:rsidRDefault="002E7805" w:rsidP="00D63CB2">
      <w:pPr>
        <w:spacing w:after="0" w:line="240" w:lineRule="auto"/>
      </w:pPr>
      <w:r>
        <w:continuationSeparator/>
      </w:r>
    </w:p>
  </w:footnote>
  <w:footnote w:type="continuationNotice" w:id="1">
    <w:p w14:paraId="3AAAE8B9" w14:textId="77777777" w:rsidR="002E7805" w:rsidRDefault="002E7805">
      <w:pPr>
        <w:spacing w:after="0" w:line="240" w:lineRule="auto"/>
      </w:pPr>
    </w:p>
  </w:footnote>
  <w:footnote w:id="2">
    <w:p w14:paraId="1092906D" w14:textId="77777777" w:rsidR="004363A0" w:rsidRPr="00D3232F" w:rsidRDefault="004363A0" w:rsidP="004363A0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Neben Personen mit Rente gilt diese Taxordnung auch für Personen ohne Rente mit IV-Status gemäss ATSG sowie Personen im AHV-Alter mit Besitzstandswahrung.</w:t>
      </w:r>
    </w:p>
  </w:footnote>
  <w:footnote w:id="3">
    <w:p w14:paraId="61BB5DA4" w14:textId="77777777" w:rsidR="004363A0" w:rsidRPr="00D3232F" w:rsidRDefault="004363A0" w:rsidP="004363A0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Beitragsberechtigt sind Wohnplätze, für die das Kantonale Sozialamt eine Leistungsvereinbarung abgeschlossen hat. </w:t>
      </w:r>
    </w:p>
  </w:footnote>
  <w:footnote w:id="4">
    <w:p w14:paraId="6C0457AF" w14:textId="77777777" w:rsidR="004363A0" w:rsidRPr="00D3232F" w:rsidRDefault="004363A0" w:rsidP="004363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«Normkosten» bedeutet, dass das Kantonale Sozialamt aufgrund der Daten aller Einrichtungen festlegt, wie hoch der Durchschnittsaufwand aller Einrichtungen für die jeweils betroffene Leistung ist. Dieser Wert kann somit von unseren effe</w:t>
      </w:r>
      <w:r w:rsidRPr="00D3232F">
        <w:rPr>
          <w:rFonts w:ascii="Arial" w:hAnsi="Arial" w:cs="Arial"/>
          <w:sz w:val="18"/>
          <w:szCs w:val="18"/>
        </w:rPr>
        <w:t>k</w:t>
      </w:r>
      <w:r w:rsidRPr="00D3232F">
        <w:rPr>
          <w:rFonts w:ascii="Arial" w:hAnsi="Arial" w:cs="Arial"/>
          <w:sz w:val="18"/>
          <w:szCs w:val="18"/>
        </w:rPr>
        <w:t>tiven Kosten abweichen.</w:t>
      </w:r>
    </w:p>
  </w:footnote>
  <w:footnote w:id="5">
    <w:p w14:paraId="7DA4BF1E" w14:textId="135A37B5" w:rsidR="004363A0" w:rsidRPr="00D3232F" w:rsidRDefault="004363A0" w:rsidP="004363A0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Ein Rating ist notwendig, da der Bedarf nach Betreuung von Mensch zu Mensch unterschiedlich ist. Der Kanton misst diesen Bedarf </w:t>
      </w:r>
      <w:r w:rsidR="00C65CDE">
        <w:rPr>
          <w:rFonts w:ascii="Arial" w:hAnsi="Arial" w:cs="Arial"/>
          <w:sz w:val="18"/>
          <w:szCs w:val="18"/>
        </w:rPr>
        <w:t xml:space="preserve">anhand des </w:t>
      </w:r>
      <w:r w:rsidRPr="00D3232F">
        <w:rPr>
          <w:rFonts w:ascii="Arial" w:hAnsi="Arial" w:cs="Arial"/>
          <w:sz w:val="18"/>
          <w:szCs w:val="18"/>
        </w:rPr>
        <w:t>Instrument</w:t>
      </w:r>
      <w:r w:rsidR="00C65CDE">
        <w:rPr>
          <w:rFonts w:ascii="Arial" w:hAnsi="Arial" w:cs="Arial"/>
          <w:sz w:val="18"/>
          <w:szCs w:val="18"/>
        </w:rPr>
        <w:t>s</w:t>
      </w:r>
      <w:r w:rsidRPr="00D3232F">
        <w:rPr>
          <w:rFonts w:ascii="Arial" w:hAnsi="Arial" w:cs="Arial"/>
          <w:sz w:val="18"/>
          <w:szCs w:val="18"/>
        </w:rPr>
        <w:t xml:space="preserve"> IBB</w:t>
      </w:r>
      <w:r w:rsidR="00C65CDE" w:rsidRPr="00F67067">
        <w:rPr>
          <w:rFonts w:ascii="Arial" w:hAnsi="Arial" w:cs="Arial"/>
          <w:sz w:val="18"/>
          <w:szCs w:val="18"/>
          <w:vertAlign w:val="superscript"/>
        </w:rPr>
        <w:t>©</w:t>
      </w:r>
      <w:r w:rsidRPr="00D3232F">
        <w:rPr>
          <w:rFonts w:ascii="Arial" w:hAnsi="Arial" w:cs="Arial"/>
          <w:sz w:val="18"/>
          <w:szCs w:val="18"/>
        </w:rPr>
        <w:t>.  IBB</w:t>
      </w:r>
      <w:r w:rsidR="00C65CDE" w:rsidRPr="00F67067">
        <w:rPr>
          <w:rFonts w:ascii="Arial" w:hAnsi="Arial" w:cs="Arial"/>
          <w:sz w:val="18"/>
          <w:szCs w:val="18"/>
          <w:vertAlign w:val="superscript"/>
        </w:rPr>
        <w:t>©</w:t>
      </w:r>
      <w:r w:rsidRPr="00D3232F">
        <w:rPr>
          <w:rFonts w:ascii="Arial" w:hAnsi="Arial" w:cs="Arial"/>
          <w:sz w:val="18"/>
          <w:szCs w:val="18"/>
        </w:rPr>
        <w:t xml:space="preserve"> </w:t>
      </w:r>
      <w:r w:rsidR="00C65CDE">
        <w:rPr>
          <w:rFonts w:ascii="Arial" w:hAnsi="Arial" w:cs="Arial"/>
          <w:sz w:val="18"/>
          <w:szCs w:val="18"/>
        </w:rPr>
        <w:t>steht für</w:t>
      </w:r>
      <w:r w:rsidRPr="00D3232F">
        <w:rPr>
          <w:rFonts w:ascii="Arial" w:hAnsi="Arial" w:cs="Arial"/>
          <w:sz w:val="18"/>
          <w:szCs w:val="18"/>
        </w:rPr>
        <w:t xml:space="preserve"> «</w:t>
      </w:r>
      <w:r w:rsidRPr="00EB3A70">
        <w:rPr>
          <w:rFonts w:ascii="Arial" w:hAnsi="Arial" w:cs="Arial"/>
          <w:sz w:val="18"/>
          <w:szCs w:val="18"/>
        </w:rPr>
        <w:t>individueller Betreuungsbedarf</w:t>
      </w:r>
      <w:r w:rsidRPr="00D3232F">
        <w:rPr>
          <w:rFonts w:ascii="Arial" w:hAnsi="Arial" w:cs="Arial"/>
          <w:sz w:val="18"/>
          <w:szCs w:val="18"/>
        </w:rPr>
        <w:t>».</w:t>
      </w:r>
    </w:p>
  </w:footnote>
  <w:footnote w:id="6">
    <w:p w14:paraId="3444ED7E" w14:textId="77777777" w:rsidR="004363A0" w:rsidRPr="00D3232F" w:rsidRDefault="004363A0" w:rsidP="004363A0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In diesen Beträgen ist eine eventuelle </w:t>
      </w:r>
      <w:proofErr w:type="spellStart"/>
      <w:r w:rsidRPr="00D3232F">
        <w:rPr>
          <w:rFonts w:ascii="Arial" w:hAnsi="Arial" w:cs="Arial"/>
          <w:sz w:val="18"/>
          <w:szCs w:val="18"/>
        </w:rPr>
        <w:t>Hilflosenentschädigung</w:t>
      </w:r>
      <w:proofErr w:type="spellEnd"/>
      <w:r w:rsidRPr="00D3232F">
        <w:rPr>
          <w:rFonts w:ascii="Arial" w:hAnsi="Arial" w:cs="Arial"/>
          <w:sz w:val="18"/>
          <w:szCs w:val="18"/>
        </w:rPr>
        <w:t xml:space="preserve"> bereits enthalten.</w:t>
      </w:r>
    </w:p>
  </w:footnote>
  <w:footnote w:id="7">
    <w:p w14:paraId="5357BD89" w14:textId="77777777" w:rsidR="004363A0" w:rsidRPr="00D3232F" w:rsidRDefault="004363A0" w:rsidP="004363A0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Für die Umrechnung der Tages- in die Monatspauschale wird die Tagesspauschale mit 365.25 multipliziert und durch 12 geteilt.</w:t>
      </w:r>
    </w:p>
  </w:footnote>
  <w:footnote w:id="8">
    <w:p w14:paraId="680F048A" w14:textId="77777777" w:rsidR="004363A0" w:rsidRDefault="004363A0" w:rsidP="004363A0">
      <w:pPr>
        <w:pStyle w:val="Funotentext"/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Taxen für Menschen mit IBB 0 sind niedriger als diejenigen für Menschen mit IBB 1 – 4. Damit wird sichergestellt, dass die Taxen nicht höher als die Normkosten sind.</w:t>
      </w:r>
      <w:r>
        <w:rPr>
          <w:rFonts w:ascii="Calibri Light" w:hAnsi="Calibri Light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1D4C" w14:textId="2D8FCC03" w:rsidR="009B6EC0" w:rsidRDefault="009B6EC0">
    <w:pPr>
      <w:pStyle w:val="Kopfzeile"/>
    </w:pPr>
    <w:r>
      <w:rPr>
        <w:noProof/>
        <w:lang w:eastAsia="de-CH"/>
      </w:rPr>
      <w:drawing>
        <wp:inline distT="0" distB="0" distL="0" distR="0" wp14:anchorId="00926483" wp14:editId="65983E31">
          <wp:extent cx="1691787" cy="59746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87" cy="59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9E96" w14:textId="7CC8E36A" w:rsidR="006F127B" w:rsidRPr="00D54559" w:rsidRDefault="006F127B" w:rsidP="00810382">
    <w:pPr>
      <w:pStyle w:val="Kopfzeile"/>
      <w:tabs>
        <w:tab w:val="clear" w:pos="4536"/>
        <w:tab w:val="clear" w:pos="9072"/>
        <w:tab w:val="left" w:pos="306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4C"/>
    <w:multiLevelType w:val="hybridMultilevel"/>
    <w:tmpl w:val="1B864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5343"/>
    <w:multiLevelType w:val="hybridMultilevel"/>
    <w:tmpl w:val="D4FC4E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2864"/>
    <w:multiLevelType w:val="hybridMultilevel"/>
    <w:tmpl w:val="DC4AB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49C9"/>
    <w:multiLevelType w:val="hybridMultilevel"/>
    <w:tmpl w:val="BC14C7EA"/>
    <w:lvl w:ilvl="0" w:tplc="10BA2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A8B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2AF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AEB6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E2F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E61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03B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A17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EC6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4749AF"/>
    <w:multiLevelType w:val="hybridMultilevel"/>
    <w:tmpl w:val="07222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06CC8"/>
    <w:multiLevelType w:val="hybridMultilevel"/>
    <w:tmpl w:val="AD6A2B2A"/>
    <w:lvl w:ilvl="0" w:tplc="059EC85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44B"/>
    <w:multiLevelType w:val="hybridMultilevel"/>
    <w:tmpl w:val="2D824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45A2E"/>
    <w:multiLevelType w:val="hybridMultilevel"/>
    <w:tmpl w:val="B554F302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71B07"/>
    <w:multiLevelType w:val="hybridMultilevel"/>
    <w:tmpl w:val="2C1CA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91BF1"/>
    <w:multiLevelType w:val="hybridMultilevel"/>
    <w:tmpl w:val="28000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74E2"/>
    <w:multiLevelType w:val="hybridMultilevel"/>
    <w:tmpl w:val="91D88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57713"/>
    <w:multiLevelType w:val="hybridMultilevel"/>
    <w:tmpl w:val="E78A2692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954C6"/>
    <w:multiLevelType w:val="hybridMultilevel"/>
    <w:tmpl w:val="FF10A1F2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67A4"/>
    <w:multiLevelType w:val="hybridMultilevel"/>
    <w:tmpl w:val="3A927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57179"/>
    <w:multiLevelType w:val="hybridMultilevel"/>
    <w:tmpl w:val="F2DEF9B6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A00E4"/>
    <w:multiLevelType w:val="hybridMultilevel"/>
    <w:tmpl w:val="A052EEAC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7"/>
    <w:rsid w:val="000058D6"/>
    <w:rsid w:val="0001016F"/>
    <w:rsid w:val="000133BD"/>
    <w:rsid w:val="000144FB"/>
    <w:rsid w:val="00020C9C"/>
    <w:rsid w:val="0002323D"/>
    <w:rsid w:val="0002785D"/>
    <w:rsid w:val="00027BE6"/>
    <w:rsid w:val="00030030"/>
    <w:rsid w:val="0003016D"/>
    <w:rsid w:val="00031FB4"/>
    <w:rsid w:val="0003219B"/>
    <w:rsid w:val="00037409"/>
    <w:rsid w:val="00041422"/>
    <w:rsid w:val="00051896"/>
    <w:rsid w:val="00052DFC"/>
    <w:rsid w:val="000553A7"/>
    <w:rsid w:val="00060384"/>
    <w:rsid w:val="00061402"/>
    <w:rsid w:val="00061CA2"/>
    <w:rsid w:val="00063D9B"/>
    <w:rsid w:val="0006575B"/>
    <w:rsid w:val="000701F0"/>
    <w:rsid w:val="00070C8B"/>
    <w:rsid w:val="00072111"/>
    <w:rsid w:val="00073FD7"/>
    <w:rsid w:val="000745FA"/>
    <w:rsid w:val="0007545A"/>
    <w:rsid w:val="000801D9"/>
    <w:rsid w:val="00087D9E"/>
    <w:rsid w:val="000A1EB8"/>
    <w:rsid w:val="000A3071"/>
    <w:rsid w:val="000A3DBC"/>
    <w:rsid w:val="000A50F2"/>
    <w:rsid w:val="000B2DF8"/>
    <w:rsid w:val="000C030C"/>
    <w:rsid w:val="000C24F1"/>
    <w:rsid w:val="000C4331"/>
    <w:rsid w:val="000D05C4"/>
    <w:rsid w:val="000D76DA"/>
    <w:rsid w:val="000E41A7"/>
    <w:rsid w:val="000E7E31"/>
    <w:rsid w:val="000F0F45"/>
    <w:rsid w:val="000F21A0"/>
    <w:rsid w:val="000F2B29"/>
    <w:rsid w:val="000F3FE3"/>
    <w:rsid w:val="000F4806"/>
    <w:rsid w:val="001060A6"/>
    <w:rsid w:val="00106581"/>
    <w:rsid w:val="0011188E"/>
    <w:rsid w:val="00112B13"/>
    <w:rsid w:val="00113701"/>
    <w:rsid w:val="001146E1"/>
    <w:rsid w:val="00115CDA"/>
    <w:rsid w:val="0011771C"/>
    <w:rsid w:val="001253FE"/>
    <w:rsid w:val="00126162"/>
    <w:rsid w:val="0012795E"/>
    <w:rsid w:val="00131816"/>
    <w:rsid w:val="0013208F"/>
    <w:rsid w:val="00135478"/>
    <w:rsid w:val="00135782"/>
    <w:rsid w:val="00135B03"/>
    <w:rsid w:val="00136403"/>
    <w:rsid w:val="00137A1E"/>
    <w:rsid w:val="001406E7"/>
    <w:rsid w:val="00141A60"/>
    <w:rsid w:val="00143253"/>
    <w:rsid w:val="00143DF1"/>
    <w:rsid w:val="00151EED"/>
    <w:rsid w:val="001567D7"/>
    <w:rsid w:val="00157DC8"/>
    <w:rsid w:val="00161907"/>
    <w:rsid w:val="001669CB"/>
    <w:rsid w:val="001713CE"/>
    <w:rsid w:val="00171738"/>
    <w:rsid w:val="00172EDC"/>
    <w:rsid w:val="00174BE3"/>
    <w:rsid w:val="00180A04"/>
    <w:rsid w:val="00180D51"/>
    <w:rsid w:val="00181C8F"/>
    <w:rsid w:val="00182A0E"/>
    <w:rsid w:val="00183C7D"/>
    <w:rsid w:val="001855DE"/>
    <w:rsid w:val="00185CED"/>
    <w:rsid w:val="00191471"/>
    <w:rsid w:val="00192888"/>
    <w:rsid w:val="00195C18"/>
    <w:rsid w:val="001A097A"/>
    <w:rsid w:val="001A2B61"/>
    <w:rsid w:val="001A5F94"/>
    <w:rsid w:val="001B0EBE"/>
    <w:rsid w:val="001B132B"/>
    <w:rsid w:val="001B30B4"/>
    <w:rsid w:val="001B3D6B"/>
    <w:rsid w:val="001B4538"/>
    <w:rsid w:val="001C34D3"/>
    <w:rsid w:val="001C686C"/>
    <w:rsid w:val="001C7238"/>
    <w:rsid w:val="001C76E1"/>
    <w:rsid w:val="001E09C3"/>
    <w:rsid w:val="001E23B3"/>
    <w:rsid w:val="001E5CBE"/>
    <w:rsid w:val="001E66A0"/>
    <w:rsid w:val="001F25F0"/>
    <w:rsid w:val="001F3C45"/>
    <w:rsid w:val="00203C06"/>
    <w:rsid w:val="002040B9"/>
    <w:rsid w:val="002070BE"/>
    <w:rsid w:val="00210C86"/>
    <w:rsid w:val="00212417"/>
    <w:rsid w:val="00212572"/>
    <w:rsid w:val="00215A69"/>
    <w:rsid w:val="00217A36"/>
    <w:rsid w:val="002237DB"/>
    <w:rsid w:val="00236F42"/>
    <w:rsid w:val="002425BA"/>
    <w:rsid w:val="00243804"/>
    <w:rsid w:val="0024440A"/>
    <w:rsid w:val="0024594A"/>
    <w:rsid w:val="0024657A"/>
    <w:rsid w:val="00253E85"/>
    <w:rsid w:val="00256BD8"/>
    <w:rsid w:val="002571C9"/>
    <w:rsid w:val="00257DB0"/>
    <w:rsid w:val="00260A2D"/>
    <w:rsid w:val="002627E7"/>
    <w:rsid w:val="00265D74"/>
    <w:rsid w:val="0026638B"/>
    <w:rsid w:val="00267121"/>
    <w:rsid w:val="002718B1"/>
    <w:rsid w:val="002747BF"/>
    <w:rsid w:val="00283241"/>
    <w:rsid w:val="00283737"/>
    <w:rsid w:val="00283F54"/>
    <w:rsid w:val="0028550E"/>
    <w:rsid w:val="00290F37"/>
    <w:rsid w:val="0029143D"/>
    <w:rsid w:val="002921F7"/>
    <w:rsid w:val="002945DD"/>
    <w:rsid w:val="002A3F9E"/>
    <w:rsid w:val="002B53E6"/>
    <w:rsid w:val="002B59EC"/>
    <w:rsid w:val="002C04A7"/>
    <w:rsid w:val="002C4268"/>
    <w:rsid w:val="002D19F9"/>
    <w:rsid w:val="002D4447"/>
    <w:rsid w:val="002D708D"/>
    <w:rsid w:val="002E4152"/>
    <w:rsid w:val="002E4495"/>
    <w:rsid w:val="002E5B6B"/>
    <w:rsid w:val="002E7805"/>
    <w:rsid w:val="002E7AEC"/>
    <w:rsid w:val="002E7B1E"/>
    <w:rsid w:val="002F1EA9"/>
    <w:rsid w:val="002F7192"/>
    <w:rsid w:val="002F7451"/>
    <w:rsid w:val="00300B43"/>
    <w:rsid w:val="003025EA"/>
    <w:rsid w:val="00304D33"/>
    <w:rsid w:val="00311DA5"/>
    <w:rsid w:val="00315146"/>
    <w:rsid w:val="00315F6F"/>
    <w:rsid w:val="00317517"/>
    <w:rsid w:val="00317616"/>
    <w:rsid w:val="00320C4C"/>
    <w:rsid w:val="00323217"/>
    <w:rsid w:val="0032394A"/>
    <w:rsid w:val="003268FD"/>
    <w:rsid w:val="00330AFB"/>
    <w:rsid w:val="003316B5"/>
    <w:rsid w:val="003321F7"/>
    <w:rsid w:val="00336A44"/>
    <w:rsid w:val="00336B80"/>
    <w:rsid w:val="00340731"/>
    <w:rsid w:val="00340EC4"/>
    <w:rsid w:val="00341533"/>
    <w:rsid w:val="003454C0"/>
    <w:rsid w:val="00345C42"/>
    <w:rsid w:val="0035018C"/>
    <w:rsid w:val="00357D6B"/>
    <w:rsid w:val="00363664"/>
    <w:rsid w:val="00363FBF"/>
    <w:rsid w:val="00365D21"/>
    <w:rsid w:val="0037399F"/>
    <w:rsid w:val="0037528F"/>
    <w:rsid w:val="003767D7"/>
    <w:rsid w:val="0038100E"/>
    <w:rsid w:val="0038723F"/>
    <w:rsid w:val="00393AA7"/>
    <w:rsid w:val="003A0173"/>
    <w:rsid w:val="003A7027"/>
    <w:rsid w:val="003A79E7"/>
    <w:rsid w:val="003B0188"/>
    <w:rsid w:val="003B0331"/>
    <w:rsid w:val="003B4F3F"/>
    <w:rsid w:val="003C0456"/>
    <w:rsid w:val="003C5B05"/>
    <w:rsid w:val="003C5BE5"/>
    <w:rsid w:val="003C6146"/>
    <w:rsid w:val="003D678E"/>
    <w:rsid w:val="003E0225"/>
    <w:rsid w:val="003E7A0C"/>
    <w:rsid w:val="003F017B"/>
    <w:rsid w:val="004073A1"/>
    <w:rsid w:val="0040742B"/>
    <w:rsid w:val="00412760"/>
    <w:rsid w:val="00414944"/>
    <w:rsid w:val="00417F36"/>
    <w:rsid w:val="004212FA"/>
    <w:rsid w:val="00422068"/>
    <w:rsid w:val="00425AFC"/>
    <w:rsid w:val="004339E6"/>
    <w:rsid w:val="004363A0"/>
    <w:rsid w:val="00440D89"/>
    <w:rsid w:val="00446133"/>
    <w:rsid w:val="00450473"/>
    <w:rsid w:val="0045130F"/>
    <w:rsid w:val="00455CBA"/>
    <w:rsid w:val="004577AA"/>
    <w:rsid w:val="00457EF0"/>
    <w:rsid w:val="00460B60"/>
    <w:rsid w:val="00460EF6"/>
    <w:rsid w:val="0046297A"/>
    <w:rsid w:val="00464BC9"/>
    <w:rsid w:val="00470490"/>
    <w:rsid w:val="0047149B"/>
    <w:rsid w:val="0047208A"/>
    <w:rsid w:val="004758CC"/>
    <w:rsid w:val="00476E09"/>
    <w:rsid w:val="004815BA"/>
    <w:rsid w:val="0048260C"/>
    <w:rsid w:val="0048283C"/>
    <w:rsid w:val="004829CB"/>
    <w:rsid w:val="00484442"/>
    <w:rsid w:val="00484A3A"/>
    <w:rsid w:val="00485F9F"/>
    <w:rsid w:val="00487DFB"/>
    <w:rsid w:val="0049027A"/>
    <w:rsid w:val="00493829"/>
    <w:rsid w:val="004979DC"/>
    <w:rsid w:val="004A11DE"/>
    <w:rsid w:val="004A26C4"/>
    <w:rsid w:val="004A2870"/>
    <w:rsid w:val="004A34D7"/>
    <w:rsid w:val="004A526A"/>
    <w:rsid w:val="004A6B1C"/>
    <w:rsid w:val="004A795B"/>
    <w:rsid w:val="004B1300"/>
    <w:rsid w:val="004B1A4D"/>
    <w:rsid w:val="004B1DDB"/>
    <w:rsid w:val="004B2FFE"/>
    <w:rsid w:val="004B4C89"/>
    <w:rsid w:val="004B5708"/>
    <w:rsid w:val="004C2BEE"/>
    <w:rsid w:val="004C646B"/>
    <w:rsid w:val="004C7090"/>
    <w:rsid w:val="004D092E"/>
    <w:rsid w:val="004D154C"/>
    <w:rsid w:val="004D1D14"/>
    <w:rsid w:val="004D3694"/>
    <w:rsid w:val="004E2912"/>
    <w:rsid w:val="004F2C99"/>
    <w:rsid w:val="004F33BA"/>
    <w:rsid w:val="004F374E"/>
    <w:rsid w:val="004F375D"/>
    <w:rsid w:val="004F51EF"/>
    <w:rsid w:val="004F63CC"/>
    <w:rsid w:val="004F66C8"/>
    <w:rsid w:val="004F7B7F"/>
    <w:rsid w:val="005051D6"/>
    <w:rsid w:val="005079DF"/>
    <w:rsid w:val="00510A68"/>
    <w:rsid w:val="00510BE5"/>
    <w:rsid w:val="00513156"/>
    <w:rsid w:val="0051383E"/>
    <w:rsid w:val="00514006"/>
    <w:rsid w:val="0051581B"/>
    <w:rsid w:val="00524F27"/>
    <w:rsid w:val="00536F71"/>
    <w:rsid w:val="005374B0"/>
    <w:rsid w:val="00540B17"/>
    <w:rsid w:val="00542CB1"/>
    <w:rsid w:val="005431A9"/>
    <w:rsid w:val="005466F1"/>
    <w:rsid w:val="0055642F"/>
    <w:rsid w:val="005629B3"/>
    <w:rsid w:val="005672BC"/>
    <w:rsid w:val="00576924"/>
    <w:rsid w:val="00583158"/>
    <w:rsid w:val="005908E9"/>
    <w:rsid w:val="00595C06"/>
    <w:rsid w:val="005A224C"/>
    <w:rsid w:val="005A24A1"/>
    <w:rsid w:val="005A2654"/>
    <w:rsid w:val="005B06D7"/>
    <w:rsid w:val="005B1364"/>
    <w:rsid w:val="005B3976"/>
    <w:rsid w:val="005B7082"/>
    <w:rsid w:val="005C0D64"/>
    <w:rsid w:val="005C1C9B"/>
    <w:rsid w:val="005C2A9D"/>
    <w:rsid w:val="005C319D"/>
    <w:rsid w:val="005C5626"/>
    <w:rsid w:val="005D1360"/>
    <w:rsid w:val="005D304D"/>
    <w:rsid w:val="005D3678"/>
    <w:rsid w:val="005D42E9"/>
    <w:rsid w:val="005D49DF"/>
    <w:rsid w:val="005D7CC3"/>
    <w:rsid w:val="005E087F"/>
    <w:rsid w:val="005E0DDF"/>
    <w:rsid w:val="005E3AF6"/>
    <w:rsid w:val="005F2688"/>
    <w:rsid w:val="005F4E30"/>
    <w:rsid w:val="005F6E5A"/>
    <w:rsid w:val="005F707A"/>
    <w:rsid w:val="00602628"/>
    <w:rsid w:val="00610774"/>
    <w:rsid w:val="00615870"/>
    <w:rsid w:val="0061624B"/>
    <w:rsid w:val="006169EA"/>
    <w:rsid w:val="00616EEC"/>
    <w:rsid w:val="00617529"/>
    <w:rsid w:val="006245B2"/>
    <w:rsid w:val="00630A35"/>
    <w:rsid w:val="00630C0A"/>
    <w:rsid w:val="00630F5D"/>
    <w:rsid w:val="00636CD4"/>
    <w:rsid w:val="00641DE1"/>
    <w:rsid w:val="006457E0"/>
    <w:rsid w:val="00645DC9"/>
    <w:rsid w:val="006506B3"/>
    <w:rsid w:val="006573C5"/>
    <w:rsid w:val="00657D13"/>
    <w:rsid w:val="00657D62"/>
    <w:rsid w:val="006616A2"/>
    <w:rsid w:val="00665DE2"/>
    <w:rsid w:val="00666DAB"/>
    <w:rsid w:val="00670A1C"/>
    <w:rsid w:val="00675914"/>
    <w:rsid w:val="006768FA"/>
    <w:rsid w:val="00680C9F"/>
    <w:rsid w:val="00682738"/>
    <w:rsid w:val="006842E6"/>
    <w:rsid w:val="00694109"/>
    <w:rsid w:val="00695A57"/>
    <w:rsid w:val="006A20E2"/>
    <w:rsid w:val="006A2DF3"/>
    <w:rsid w:val="006A43A7"/>
    <w:rsid w:val="006A4790"/>
    <w:rsid w:val="006A551A"/>
    <w:rsid w:val="006A6E27"/>
    <w:rsid w:val="006B0FA5"/>
    <w:rsid w:val="006B22E3"/>
    <w:rsid w:val="006B3D36"/>
    <w:rsid w:val="006B3EEA"/>
    <w:rsid w:val="006C1467"/>
    <w:rsid w:val="006D023B"/>
    <w:rsid w:val="006D12A3"/>
    <w:rsid w:val="006D1E8A"/>
    <w:rsid w:val="006D2ADC"/>
    <w:rsid w:val="006E4B53"/>
    <w:rsid w:val="006E4B6B"/>
    <w:rsid w:val="006E4D1E"/>
    <w:rsid w:val="006E66A0"/>
    <w:rsid w:val="006F0FC7"/>
    <w:rsid w:val="006F127B"/>
    <w:rsid w:val="006F1ADC"/>
    <w:rsid w:val="006F1B35"/>
    <w:rsid w:val="006F3429"/>
    <w:rsid w:val="006F531A"/>
    <w:rsid w:val="00702A09"/>
    <w:rsid w:val="007039D1"/>
    <w:rsid w:val="00703D78"/>
    <w:rsid w:val="00705B5D"/>
    <w:rsid w:val="00705E88"/>
    <w:rsid w:val="00706FFA"/>
    <w:rsid w:val="007129F5"/>
    <w:rsid w:val="00715FFD"/>
    <w:rsid w:val="00723231"/>
    <w:rsid w:val="00725A48"/>
    <w:rsid w:val="00725ABC"/>
    <w:rsid w:val="007273BD"/>
    <w:rsid w:val="007301B2"/>
    <w:rsid w:val="00733084"/>
    <w:rsid w:val="00734ABA"/>
    <w:rsid w:val="00734F42"/>
    <w:rsid w:val="00737466"/>
    <w:rsid w:val="007402EE"/>
    <w:rsid w:val="00741C2D"/>
    <w:rsid w:val="007469C6"/>
    <w:rsid w:val="007474F2"/>
    <w:rsid w:val="0075280B"/>
    <w:rsid w:val="007577F1"/>
    <w:rsid w:val="0076374D"/>
    <w:rsid w:val="00765755"/>
    <w:rsid w:val="00767384"/>
    <w:rsid w:val="0076752B"/>
    <w:rsid w:val="0077020F"/>
    <w:rsid w:val="00772758"/>
    <w:rsid w:val="007738D7"/>
    <w:rsid w:val="00776EEE"/>
    <w:rsid w:val="00776F0A"/>
    <w:rsid w:val="0078154C"/>
    <w:rsid w:val="00784E27"/>
    <w:rsid w:val="00791075"/>
    <w:rsid w:val="0079315D"/>
    <w:rsid w:val="007944B9"/>
    <w:rsid w:val="00794CEE"/>
    <w:rsid w:val="00794F47"/>
    <w:rsid w:val="007A0895"/>
    <w:rsid w:val="007A0E0A"/>
    <w:rsid w:val="007A3CFB"/>
    <w:rsid w:val="007B0A82"/>
    <w:rsid w:val="007B0C98"/>
    <w:rsid w:val="007B1305"/>
    <w:rsid w:val="007B5A1B"/>
    <w:rsid w:val="007B785E"/>
    <w:rsid w:val="007C2580"/>
    <w:rsid w:val="007C4363"/>
    <w:rsid w:val="007C45CD"/>
    <w:rsid w:val="007C5248"/>
    <w:rsid w:val="007C5657"/>
    <w:rsid w:val="007E0F9F"/>
    <w:rsid w:val="007E4E64"/>
    <w:rsid w:val="007E7E57"/>
    <w:rsid w:val="007F422A"/>
    <w:rsid w:val="007F5955"/>
    <w:rsid w:val="007F774D"/>
    <w:rsid w:val="00801F40"/>
    <w:rsid w:val="008076E8"/>
    <w:rsid w:val="00810382"/>
    <w:rsid w:val="008110AD"/>
    <w:rsid w:val="008113C5"/>
    <w:rsid w:val="008143CF"/>
    <w:rsid w:val="008158B0"/>
    <w:rsid w:val="00826F69"/>
    <w:rsid w:val="00827E93"/>
    <w:rsid w:val="008331DA"/>
    <w:rsid w:val="0083384B"/>
    <w:rsid w:val="00834EFE"/>
    <w:rsid w:val="008350C9"/>
    <w:rsid w:val="00843C17"/>
    <w:rsid w:val="00844A48"/>
    <w:rsid w:val="0084758C"/>
    <w:rsid w:val="00847A9C"/>
    <w:rsid w:val="00852D43"/>
    <w:rsid w:val="008566B4"/>
    <w:rsid w:val="008566FD"/>
    <w:rsid w:val="00856C49"/>
    <w:rsid w:val="008662AF"/>
    <w:rsid w:val="00867344"/>
    <w:rsid w:val="0086770B"/>
    <w:rsid w:val="00870804"/>
    <w:rsid w:val="008755A8"/>
    <w:rsid w:val="00876A58"/>
    <w:rsid w:val="008777B7"/>
    <w:rsid w:val="00877D01"/>
    <w:rsid w:val="00881A3F"/>
    <w:rsid w:val="008826B8"/>
    <w:rsid w:val="008827F3"/>
    <w:rsid w:val="00885165"/>
    <w:rsid w:val="00890C35"/>
    <w:rsid w:val="0089658F"/>
    <w:rsid w:val="008A22B9"/>
    <w:rsid w:val="008A4317"/>
    <w:rsid w:val="008A57C8"/>
    <w:rsid w:val="008A6443"/>
    <w:rsid w:val="008A7124"/>
    <w:rsid w:val="008B24D6"/>
    <w:rsid w:val="008B5C91"/>
    <w:rsid w:val="008B6282"/>
    <w:rsid w:val="008B7315"/>
    <w:rsid w:val="008C0C5A"/>
    <w:rsid w:val="008C11F1"/>
    <w:rsid w:val="008C330B"/>
    <w:rsid w:val="008C57AE"/>
    <w:rsid w:val="008D43EB"/>
    <w:rsid w:val="008E0CAE"/>
    <w:rsid w:val="008E257A"/>
    <w:rsid w:val="008E343B"/>
    <w:rsid w:val="008F5B82"/>
    <w:rsid w:val="008F78E7"/>
    <w:rsid w:val="008F7C97"/>
    <w:rsid w:val="00901892"/>
    <w:rsid w:val="00904BB0"/>
    <w:rsid w:val="00904C82"/>
    <w:rsid w:val="00904EF4"/>
    <w:rsid w:val="009144C5"/>
    <w:rsid w:val="00915E31"/>
    <w:rsid w:val="0091713F"/>
    <w:rsid w:val="00920140"/>
    <w:rsid w:val="00920BCA"/>
    <w:rsid w:val="00923614"/>
    <w:rsid w:val="00926C54"/>
    <w:rsid w:val="009326CF"/>
    <w:rsid w:val="009328B6"/>
    <w:rsid w:val="009339AD"/>
    <w:rsid w:val="009345CB"/>
    <w:rsid w:val="009358FE"/>
    <w:rsid w:val="0093793A"/>
    <w:rsid w:val="0094023A"/>
    <w:rsid w:val="009403CD"/>
    <w:rsid w:val="009473D9"/>
    <w:rsid w:val="00947CEB"/>
    <w:rsid w:val="00951BF8"/>
    <w:rsid w:val="00956C35"/>
    <w:rsid w:val="009602D8"/>
    <w:rsid w:val="00960C5A"/>
    <w:rsid w:val="00965644"/>
    <w:rsid w:val="0096602D"/>
    <w:rsid w:val="00966712"/>
    <w:rsid w:val="009667A2"/>
    <w:rsid w:val="0097085E"/>
    <w:rsid w:val="009747BC"/>
    <w:rsid w:val="00977930"/>
    <w:rsid w:val="00980668"/>
    <w:rsid w:val="00985AFB"/>
    <w:rsid w:val="0099735F"/>
    <w:rsid w:val="009975FB"/>
    <w:rsid w:val="009A51D8"/>
    <w:rsid w:val="009A791C"/>
    <w:rsid w:val="009B1F04"/>
    <w:rsid w:val="009B4177"/>
    <w:rsid w:val="009B4D8A"/>
    <w:rsid w:val="009B4DCC"/>
    <w:rsid w:val="009B6EC0"/>
    <w:rsid w:val="009C0E6A"/>
    <w:rsid w:val="009C0FD0"/>
    <w:rsid w:val="009C125B"/>
    <w:rsid w:val="009C171C"/>
    <w:rsid w:val="009C1A73"/>
    <w:rsid w:val="009C1C0A"/>
    <w:rsid w:val="009C27BA"/>
    <w:rsid w:val="009C4779"/>
    <w:rsid w:val="009C62B4"/>
    <w:rsid w:val="009C66B3"/>
    <w:rsid w:val="009C756B"/>
    <w:rsid w:val="009C76AB"/>
    <w:rsid w:val="009C7ED2"/>
    <w:rsid w:val="009D076C"/>
    <w:rsid w:val="009D0B6C"/>
    <w:rsid w:val="009D19C8"/>
    <w:rsid w:val="009D1B79"/>
    <w:rsid w:val="009D1E56"/>
    <w:rsid w:val="009D2F97"/>
    <w:rsid w:val="009D7323"/>
    <w:rsid w:val="009E13F4"/>
    <w:rsid w:val="009E1F9E"/>
    <w:rsid w:val="009F0247"/>
    <w:rsid w:val="009F0E63"/>
    <w:rsid w:val="009F1311"/>
    <w:rsid w:val="009F470D"/>
    <w:rsid w:val="009F63F2"/>
    <w:rsid w:val="00A01325"/>
    <w:rsid w:val="00A06264"/>
    <w:rsid w:val="00A1008B"/>
    <w:rsid w:val="00A1312F"/>
    <w:rsid w:val="00A1679F"/>
    <w:rsid w:val="00A16E2B"/>
    <w:rsid w:val="00A17ECF"/>
    <w:rsid w:val="00A207C1"/>
    <w:rsid w:val="00A21439"/>
    <w:rsid w:val="00A24EFE"/>
    <w:rsid w:val="00A30FF6"/>
    <w:rsid w:val="00A32FBD"/>
    <w:rsid w:val="00A33D42"/>
    <w:rsid w:val="00A369E3"/>
    <w:rsid w:val="00A445D8"/>
    <w:rsid w:val="00A44D8A"/>
    <w:rsid w:val="00A45BDD"/>
    <w:rsid w:val="00A5013B"/>
    <w:rsid w:val="00A50D38"/>
    <w:rsid w:val="00A5163F"/>
    <w:rsid w:val="00A51B61"/>
    <w:rsid w:val="00A52C30"/>
    <w:rsid w:val="00A52D8F"/>
    <w:rsid w:val="00A54C52"/>
    <w:rsid w:val="00A605FB"/>
    <w:rsid w:val="00A63778"/>
    <w:rsid w:val="00A66522"/>
    <w:rsid w:val="00A73B53"/>
    <w:rsid w:val="00A742D2"/>
    <w:rsid w:val="00A81CEE"/>
    <w:rsid w:val="00A848DE"/>
    <w:rsid w:val="00A858E7"/>
    <w:rsid w:val="00A90E76"/>
    <w:rsid w:val="00A93C70"/>
    <w:rsid w:val="00A9403B"/>
    <w:rsid w:val="00A96AAD"/>
    <w:rsid w:val="00AA1016"/>
    <w:rsid w:val="00AA2435"/>
    <w:rsid w:val="00AB31C2"/>
    <w:rsid w:val="00AB31CE"/>
    <w:rsid w:val="00AC0294"/>
    <w:rsid w:val="00AC6869"/>
    <w:rsid w:val="00AC6AF0"/>
    <w:rsid w:val="00AD59B2"/>
    <w:rsid w:val="00AE48D7"/>
    <w:rsid w:val="00AE799B"/>
    <w:rsid w:val="00AF0E19"/>
    <w:rsid w:val="00AF2A1B"/>
    <w:rsid w:val="00AF2DA0"/>
    <w:rsid w:val="00AF3579"/>
    <w:rsid w:val="00AF6F4B"/>
    <w:rsid w:val="00AF7694"/>
    <w:rsid w:val="00B00120"/>
    <w:rsid w:val="00B02421"/>
    <w:rsid w:val="00B064BE"/>
    <w:rsid w:val="00B075A4"/>
    <w:rsid w:val="00B10447"/>
    <w:rsid w:val="00B11A05"/>
    <w:rsid w:val="00B1439B"/>
    <w:rsid w:val="00B16105"/>
    <w:rsid w:val="00B17AE6"/>
    <w:rsid w:val="00B17D10"/>
    <w:rsid w:val="00B17D70"/>
    <w:rsid w:val="00B20D6A"/>
    <w:rsid w:val="00B218F1"/>
    <w:rsid w:val="00B2280D"/>
    <w:rsid w:val="00B22DC3"/>
    <w:rsid w:val="00B2729F"/>
    <w:rsid w:val="00B27CD8"/>
    <w:rsid w:val="00B27DFD"/>
    <w:rsid w:val="00B30AAE"/>
    <w:rsid w:val="00B31D73"/>
    <w:rsid w:val="00B31F24"/>
    <w:rsid w:val="00B33587"/>
    <w:rsid w:val="00B351DB"/>
    <w:rsid w:val="00B42224"/>
    <w:rsid w:val="00B42B1A"/>
    <w:rsid w:val="00B4471E"/>
    <w:rsid w:val="00B5033E"/>
    <w:rsid w:val="00B55DA1"/>
    <w:rsid w:val="00B6059B"/>
    <w:rsid w:val="00B62753"/>
    <w:rsid w:val="00B64000"/>
    <w:rsid w:val="00B6431F"/>
    <w:rsid w:val="00B6485D"/>
    <w:rsid w:val="00B67451"/>
    <w:rsid w:val="00B7235F"/>
    <w:rsid w:val="00B73000"/>
    <w:rsid w:val="00B81D3F"/>
    <w:rsid w:val="00B827BE"/>
    <w:rsid w:val="00B831D8"/>
    <w:rsid w:val="00B849F0"/>
    <w:rsid w:val="00B85916"/>
    <w:rsid w:val="00B8602C"/>
    <w:rsid w:val="00B90061"/>
    <w:rsid w:val="00B9491B"/>
    <w:rsid w:val="00B94A96"/>
    <w:rsid w:val="00B95717"/>
    <w:rsid w:val="00BA176D"/>
    <w:rsid w:val="00BA7B3F"/>
    <w:rsid w:val="00BB2955"/>
    <w:rsid w:val="00BB2F9E"/>
    <w:rsid w:val="00BB40C3"/>
    <w:rsid w:val="00BB5D42"/>
    <w:rsid w:val="00BB5D50"/>
    <w:rsid w:val="00BC2943"/>
    <w:rsid w:val="00BC4BFC"/>
    <w:rsid w:val="00BC523A"/>
    <w:rsid w:val="00BC6433"/>
    <w:rsid w:val="00BD3A05"/>
    <w:rsid w:val="00BD4B5A"/>
    <w:rsid w:val="00BE2282"/>
    <w:rsid w:val="00BE40A9"/>
    <w:rsid w:val="00BE50BF"/>
    <w:rsid w:val="00BE5819"/>
    <w:rsid w:val="00BF3E32"/>
    <w:rsid w:val="00C00C69"/>
    <w:rsid w:val="00C00DFF"/>
    <w:rsid w:val="00C030A2"/>
    <w:rsid w:val="00C05C46"/>
    <w:rsid w:val="00C122AA"/>
    <w:rsid w:val="00C14BF8"/>
    <w:rsid w:val="00C21845"/>
    <w:rsid w:val="00C24738"/>
    <w:rsid w:val="00C25EE2"/>
    <w:rsid w:val="00C26308"/>
    <w:rsid w:val="00C269F6"/>
    <w:rsid w:val="00C27907"/>
    <w:rsid w:val="00C31203"/>
    <w:rsid w:val="00C3173E"/>
    <w:rsid w:val="00C33242"/>
    <w:rsid w:val="00C34338"/>
    <w:rsid w:val="00C412BD"/>
    <w:rsid w:val="00C41B94"/>
    <w:rsid w:val="00C42A1D"/>
    <w:rsid w:val="00C5145A"/>
    <w:rsid w:val="00C52316"/>
    <w:rsid w:val="00C5395B"/>
    <w:rsid w:val="00C56500"/>
    <w:rsid w:val="00C567DB"/>
    <w:rsid w:val="00C61243"/>
    <w:rsid w:val="00C63028"/>
    <w:rsid w:val="00C6359D"/>
    <w:rsid w:val="00C645BE"/>
    <w:rsid w:val="00C65387"/>
    <w:rsid w:val="00C65CDE"/>
    <w:rsid w:val="00C75A99"/>
    <w:rsid w:val="00C75DD5"/>
    <w:rsid w:val="00C801A0"/>
    <w:rsid w:val="00C80D1B"/>
    <w:rsid w:val="00C81D32"/>
    <w:rsid w:val="00C820D9"/>
    <w:rsid w:val="00C8282A"/>
    <w:rsid w:val="00C87920"/>
    <w:rsid w:val="00C8797B"/>
    <w:rsid w:val="00C902DA"/>
    <w:rsid w:val="00C91587"/>
    <w:rsid w:val="00C97231"/>
    <w:rsid w:val="00CA0525"/>
    <w:rsid w:val="00CA068A"/>
    <w:rsid w:val="00CA147A"/>
    <w:rsid w:val="00CA1EBD"/>
    <w:rsid w:val="00CA4CE2"/>
    <w:rsid w:val="00CB189E"/>
    <w:rsid w:val="00CB220F"/>
    <w:rsid w:val="00CB27A7"/>
    <w:rsid w:val="00CB7413"/>
    <w:rsid w:val="00CB74E2"/>
    <w:rsid w:val="00CC0065"/>
    <w:rsid w:val="00CC0324"/>
    <w:rsid w:val="00CC207E"/>
    <w:rsid w:val="00CC2B21"/>
    <w:rsid w:val="00CC7E0E"/>
    <w:rsid w:val="00CD1A78"/>
    <w:rsid w:val="00CD4C72"/>
    <w:rsid w:val="00CD5631"/>
    <w:rsid w:val="00CD659A"/>
    <w:rsid w:val="00CE5C9F"/>
    <w:rsid w:val="00CE74EA"/>
    <w:rsid w:val="00CF279F"/>
    <w:rsid w:val="00CF31E3"/>
    <w:rsid w:val="00CF5BC2"/>
    <w:rsid w:val="00D01E47"/>
    <w:rsid w:val="00D025A4"/>
    <w:rsid w:val="00D100D5"/>
    <w:rsid w:val="00D12C07"/>
    <w:rsid w:val="00D14495"/>
    <w:rsid w:val="00D14A6B"/>
    <w:rsid w:val="00D14CD1"/>
    <w:rsid w:val="00D158C3"/>
    <w:rsid w:val="00D163CD"/>
    <w:rsid w:val="00D16D66"/>
    <w:rsid w:val="00D17B48"/>
    <w:rsid w:val="00D17B58"/>
    <w:rsid w:val="00D334AA"/>
    <w:rsid w:val="00D34D8C"/>
    <w:rsid w:val="00D37821"/>
    <w:rsid w:val="00D41810"/>
    <w:rsid w:val="00D41A8D"/>
    <w:rsid w:val="00D427CC"/>
    <w:rsid w:val="00D45B4E"/>
    <w:rsid w:val="00D477E4"/>
    <w:rsid w:val="00D53DCF"/>
    <w:rsid w:val="00D54323"/>
    <w:rsid w:val="00D54559"/>
    <w:rsid w:val="00D54722"/>
    <w:rsid w:val="00D54F7B"/>
    <w:rsid w:val="00D607B0"/>
    <w:rsid w:val="00D61BC5"/>
    <w:rsid w:val="00D62077"/>
    <w:rsid w:val="00D63CB2"/>
    <w:rsid w:val="00D746B0"/>
    <w:rsid w:val="00D7524D"/>
    <w:rsid w:val="00D7526E"/>
    <w:rsid w:val="00D768FB"/>
    <w:rsid w:val="00D77389"/>
    <w:rsid w:val="00D85B51"/>
    <w:rsid w:val="00D86D0F"/>
    <w:rsid w:val="00D91683"/>
    <w:rsid w:val="00D91CCE"/>
    <w:rsid w:val="00D926B2"/>
    <w:rsid w:val="00D93F1F"/>
    <w:rsid w:val="00DA01A9"/>
    <w:rsid w:val="00DA3217"/>
    <w:rsid w:val="00DA3798"/>
    <w:rsid w:val="00DA4C4D"/>
    <w:rsid w:val="00DA52D8"/>
    <w:rsid w:val="00DC2347"/>
    <w:rsid w:val="00DC2856"/>
    <w:rsid w:val="00DC2C6A"/>
    <w:rsid w:val="00DC4B21"/>
    <w:rsid w:val="00DC7847"/>
    <w:rsid w:val="00DC7DB0"/>
    <w:rsid w:val="00DD1CFF"/>
    <w:rsid w:val="00DD1D61"/>
    <w:rsid w:val="00DD4135"/>
    <w:rsid w:val="00DD433C"/>
    <w:rsid w:val="00DD51DD"/>
    <w:rsid w:val="00DD524E"/>
    <w:rsid w:val="00DE49D7"/>
    <w:rsid w:val="00DE7A52"/>
    <w:rsid w:val="00DF0C8C"/>
    <w:rsid w:val="00DF2789"/>
    <w:rsid w:val="00DF5AA3"/>
    <w:rsid w:val="00DF5EE1"/>
    <w:rsid w:val="00DF7156"/>
    <w:rsid w:val="00E0792F"/>
    <w:rsid w:val="00E135C5"/>
    <w:rsid w:val="00E1692F"/>
    <w:rsid w:val="00E16BE2"/>
    <w:rsid w:val="00E176BA"/>
    <w:rsid w:val="00E17F4B"/>
    <w:rsid w:val="00E22822"/>
    <w:rsid w:val="00E24214"/>
    <w:rsid w:val="00E252A2"/>
    <w:rsid w:val="00E342B5"/>
    <w:rsid w:val="00E419B4"/>
    <w:rsid w:val="00E500BE"/>
    <w:rsid w:val="00E5593B"/>
    <w:rsid w:val="00E66C6E"/>
    <w:rsid w:val="00E66D0A"/>
    <w:rsid w:val="00E70549"/>
    <w:rsid w:val="00E711F3"/>
    <w:rsid w:val="00E75615"/>
    <w:rsid w:val="00E758DA"/>
    <w:rsid w:val="00E75906"/>
    <w:rsid w:val="00E75EB4"/>
    <w:rsid w:val="00E801D4"/>
    <w:rsid w:val="00E813FD"/>
    <w:rsid w:val="00E81DE9"/>
    <w:rsid w:val="00E81E01"/>
    <w:rsid w:val="00E862A5"/>
    <w:rsid w:val="00E868A6"/>
    <w:rsid w:val="00E87A6D"/>
    <w:rsid w:val="00E9213F"/>
    <w:rsid w:val="00E94E95"/>
    <w:rsid w:val="00EA5B4A"/>
    <w:rsid w:val="00EB3A70"/>
    <w:rsid w:val="00EB4745"/>
    <w:rsid w:val="00EB5ADD"/>
    <w:rsid w:val="00EB6E84"/>
    <w:rsid w:val="00EB7CA3"/>
    <w:rsid w:val="00EC04AF"/>
    <w:rsid w:val="00EC1241"/>
    <w:rsid w:val="00EC1A15"/>
    <w:rsid w:val="00EC4389"/>
    <w:rsid w:val="00ED038F"/>
    <w:rsid w:val="00ED0588"/>
    <w:rsid w:val="00ED093E"/>
    <w:rsid w:val="00ED38BF"/>
    <w:rsid w:val="00ED4CA5"/>
    <w:rsid w:val="00ED6055"/>
    <w:rsid w:val="00ED767B"/>
    <w:rsid w:val="00ED798B"/>
    <w:rsid w:val="00EE0F58"/>
    <w:rsid w:val="00EE4083"/>
    <w:rsid w:val="00EE4ACB"/>
    <w:rsid w:val="00EE6185"/>
    <w:rsid w:val="00EF0977"/>
    <w:rsid w:val="00EF2A3F"/>
    <w:rsid w:val="00EF58DB"/>
    <w:rsid w:val="00F01AE9"/>
    <w:rsid w:val="00F06DFD"/>
    <w:rsid w:val="00F07F9F"/>
    <w:rsid w:val="00F10924"/>
    <w:rsid w:val="00F11090"/>
    <w:rsid w:val="00F11253"/>
    <w:rsid w:val="00F16660"/>
    <w:rsid w:val="00F166A9"/>
    <w:rsid w:val="00F169EB"/>
    <w:rsid w:val="00F212E7"/>
    <w:rsid w:val="00F21FCA"/>
    <w:rsid w:val="00F26DF5"/>
    <w:rsid w:val="00F2705C"/>
    <w:rsid w:val="00F27389"/>
    <w:rsid w:val="00F30BB7"/>
    <w:rsid w:val="00F34BEB"/>
    <w:rsid w:val="00F364AE"/>
    <w:rsid w:val="00F3698F"/>
    <w:rsid w:val="00F37A05"/>
    <w:rsid w:val="00F40334"/>
    <w:rsid w:val="00F4182A"/>
    <w:rsid w:val="00F421F3"/>
    <w:rsid w:val="00F444A8"/>
    <w:rsid w:val="00F53386"/>
    <w:rsid w:val="00F56832"/>
    <w:rsid w:val="00F63E6B"/>
    <w:rsid w:val="00F67067"/>
    <w:rsid w:val="00F716D1"/>
    <w:rsid w:val="00F7252A"/>
    <w:rsid w:val="00F76C2F"/>
    <w:rsid w:val="00F82F84"/>
    <w:rsid w:val="00F840C2"/>
    <w:rsid w:val="00F85B4D"/>
    <w:rsid w:val="00F90674"/>
    <w:rsid w:val="00F9325D"/>
    <w:rsid w:val="00F9339C"/>
    <w:rsid w:val="00F95E71"/>
    <w:rsid w:val="00F9719F"/>
    <w:rsid w:val="00F97825"/>
    <w:rsid w:val="00FA1679"/>
    <w:rsid w:val="00FA1A36"/>
    <w:rsid w:val="00FA300E"/>
    <w:rsid w:val="00FA666B"/>
    <w:rsid w:val="00FB4624"/>
    <w:rsid w:val="00FB4FBA"/>
    <w:rsid w:val="00FB7329"/>
    <w:rsid w:val="00FB7CA3"/>
    <w:rsid w:val="00FC13F5"/>
    <w:rsid w:val="00FC2185"/>
    <w:rsid w:val="00FC2E33"/>
    <w:rsid w:val="00FC3E4F"/>
    <w:rsid w:val="00FC6E5B"/>
    <w:rsid w:val="00FC7089"/>
    <w:rsid w:val="00FD2BFB"/>
    <w:rsid w:val="00FD3030"/>
    <w:rsid w:val="00FE09A7"/>
    <w:rsid w:val="00FE18F7"/>
    <w:rsid w:val="00FE2F82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C19A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DF7156"/>
    <w:pPr>
      <w:keepNext/>
      <w:keepLines/>
      <w:spacing w:after="0" w:line="340" w:lineRule="exact"/>
      <w:outlineLvl w:val="1"/>
    </w:pPr>
    <w:rPr>
      <w:rFonts w:ascii="ZineSansDis-MediumRoman" w:eastAsiaTheme="majorEastAsia" w:hAnsi="ZineSansDis-MediumRoman" w:cstheme="majorBidi"/>
      <w:bCs/>
      <w:sz w:val="28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E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D6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CB2"/>
  </w:style>
  <w:style w:type="paragraph" w:styleId="Fuzeile">
    <w:name w:val="footer"/>
    <w:basedOn w:val="Standard"/>
    <w:link w:val="Fu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CB2"/>
  </w:style>
  <w:style w:type="paragraph" w:styleId="Funotentext">
    <w:name w:val="footnote text"/>
    <w:basedOn w:val="Standard"/>
    <w:link w:val="FunotentextZchn"/>
    <w:uiPriority w:val="99"/>
    <w:semiHidden/>
    <w:unhideWhenUsed/>
    <w:rsid w:val="00FC2E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2E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2E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4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04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04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4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4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444A8"/>
    <w:pPr>
      <w:spacing w:after="0" w:line="240" w:lineRule="auto"/>
    </w:pPr>
  </w:style>
  <w:style w:type="paragraph" w:customStyle="1" w:styleId="Default">
    <w:name w:val="Default"/>
    <w:rsid w:val="00A0132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BriefKopffett">
    <w:name w:val="Brief_Kopf_fett"/>
    <w:basedOn w:val="Standard"/>
    <w:next w:val="Standard"/>
    <w:rsid w:val="008076E8"/>
    <w:pPr>
      <w:tabs>
        <w:tab w:val="left" w:pos="567"/>
      </w:tabs>
      <w:spacing w:after="0"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BriefKopf">
    <w:name w:val="Brief_Kopf"/>
    <w:basedOn w:val="Standard"/>
    <w:rsid w:val="008076E8"/>
    <w:pPr>
      <w:tabs>
        <w:tab w:val="left" w:pos="567"/>
      </w:tabs>
      <w:spacing w:after="0" w:line="200" w:lineRule="exact"/>
    </w:pPr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unhideWhenUsed/>
    <w:rsid w:val="00A5013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7156"/>
    <w:rPr>
      <w:rFonts w:ascii="ZineSansDis-MediumRoman" w:eastAsiaTheme="majorEastAsia" w:hAnsi="ZineSansDis-MediumRoman" w:cstheme="majorBidi"/>
      <w:bCs/>
      <w:sz w:val="28"/>
      <w:szCs w:val="26"/>
      <w:lang w:eastAsia="zh-TW"/>
    </w:rPr>
  </w:style>
  <w:style w:type="table" w:styleId="Tabellenraster">
    <w:name w:val="Table Grid"/>
    <w:basedOn w:val="NormaleTabelle"/>
    <w:uiPriority w:val="59"/>
    <w:rsid w:val="00DF7156"/>
    <w:pPr>
      <w:spacing w:after="0" w:line="280" w:lineRule="exact"/>
    </w:pPr>
    <w:rPr>
      <w:rFonts w:ascii="ZineSansDis-RegularRoman" w:hAnsi="ZineSansDis-RegularRoman"/>
      <w:sz w:val="24"/>
      <w:szCs w:val="24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DF7156"/>
    <w:pPr>
      <w:keepNext/>
      <w:keepLines/>
      <w:spacing w:after="0" w:line="340" w:lineRule="exact"/>
      <w:outlineLvl w:val="1"/>
    </w:pPr>
    <w:rPr>
      <w:rFonts w:ascii="ZineSansDis-MediumRoman" w:eastAsiaTheme="majorEastAsia" w:hAnsi="ZineSansDis-MediumRoman" w:cstheme="majorBidi"/>
      <w:bCs/>
      <w:sz w:val="28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E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D6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CB2"/>
  </w:style>
  <w:style w:type="paragraph" w:styleId="Fuzeile">
    <w:name w:val="footer"/>
    <w:basedOn w:val="Standard"/>
    <w:link w:val="Fu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CB2"/>
  </w:style>
  <w:style w:type="paragraph" w:styleId="Funotentext">
    <w:name w:val="footnote text"/>
    <w:basedOn w:val="Standard"/>
    <w:link w:val="FunotentextZchn"/>
    <w:uiPriority w:val="99"/>
    <w:semiHidden/>
    <w:unhideWhenUsed/>
    <w:rsid w:val="00FC2E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2E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2E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4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04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04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4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4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444A8"/>
    <w:pPr>
      <w:spacing w:after="0" w:line="240" w:lineRule="auto"/>
    </w:pPr>
  </w:style>
  <w:style w:type="paragraph" w:customStyle="1" w:styleId="Default">
    <w:name w:val="Default"/>
    <w:rsid w:val="00A0132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BriefKopffett">
    <w:name w:val="Brief_Kopf_fett"/>
    <w:basedOn w:val="Standard"/>
    <w:next w:val="Standard"/>
    <w:rsid w:val="008076E8"/>
    <w:pPr>
      <w:tabs>
        <w:tab w:val="left" w:pos="567"/>
      </w:tabs>
      <w:spacing w:after="0"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BriefKopf">
    <w:name w:val="Brief_Kopf"/>
    <w:basedOn w:val="Standard"/>
    <w:rsid w:val="008076E8"/>
    <w:pPr>
      <w:tabs>
        <w:tab w:val="left" w:pos="567"/>
      </w:tabs>
      <w:spacing w:after="0" w:line="200" w:lineRule="exact"/>
    </w:pPr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unhideWhenUsed/>
    <w:rsid w:val="00A5013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7156"/>
    <w:rPr>
      <w:rFonts w:ascii="ZineSansDis-MediumRoman" w:eastAsiaTheme="majorEastAsia" w:hAnsi="ZineSansDis-MediumRoman" w:cstheme="majorBidi"/>
      <w:bCs/>
      <w:sz w:val="28"/>
      <w:szCs w:val="26"/>
      <w:lang w:eastAsia="zh-TW"/>
    </w:rPr>
  </w:style>
  <w:style w:type="table" w:styleId="Tabellenraster">
    <w:name w:val="Table Grid"/>
    <w:basedOn w:val="NormaleTabelle"/>
    <w:uiPriority w:val="59"/>
    <w:rsid w:val="00DF7156"/>
    <w:pPr>
      <w:spacing w:after="0" w:line="280" w:lineRule="exact"/>
    </w:pPr>
    <w:rPr>
      <w:rFonts w:ascii="ZineSansDis-RegularRoman" w:hAnsi="ZineSansDis-RegularRoman"/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3F5C-CC03-4B8F-8091-778947BD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Sicherheitsdirektion Kanton Zürich - IBIS-Ämter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Thürlemann</dc:creator>
  <cp:lastModifiedBy>Michèle Kesseli</cp:lastModifiedBy>
  <cp:revision>3</cp:revision>
  <cp:lastPrinted>2023-11-28T13:41:00Z</cp:lastPrinted>
  <dcterms:created xsi:type="dcterms:W3CDTF">2023-12-04T10:10:00Z</dcterms:created>
  <dcterms:modified xsi:type="dcterms:W3CDTF">2023-12-05T09:09:00Z</dcterms:modified>
</cp:coreProperties>
</file>